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65860" distR="1108075" simplePos="0" relativeHeight="125829378" behindDoc="0" locked="0" layoutInCell="1" allowOverlap="1">
            <wp:simplePos x="0" y="0"/>
            <wp:positionH relativeFrom="page">
              <wp:posOffset>1776730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353695" distL="312420" distR="245745" simplePos="0" relativeHeight="125829379" behindDoc="0" locked="0" layoutInCell="1" allowOverlap="1">
                <wp:simplePos x="0" y="0"/>
                <wp:positionH relativeFrom="page">
                  <wp:posOffset>923290</wp:posOffset>
                </wp:positionH>
                <wp:positionV relativeFrom="paragraph">
                  <wp:posOffset>728980</wp:posOffset>
                </wp:positionV>
                <wp:extent cx="2249170" cy="17068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706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Ивановской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Жарова, 10, Иваново, 153000</w:t>
                              <w:br/>
                              <w:t>тел. (4932) 32-85-73, факс (4932) 32-63-60</w:t>
                              <w:br/>
                              <w:t>е-тай: Го37@Га§.§оу.п1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37" w:val="left"/>
                              </w:tabs>
                              <w:bidi w:val="0"/>
                              <w:spacing w:before="0"/>
                              <w:ind w:left="0" w:right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штамп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4360A3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V-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700000000000003pt;margin-top:57.399999999999999pt;width:177.09999999999999pt;height:134.40000000000001pt;z-index:-125829374;mso-wrap-distance-left:24.600000000000001pt;mso-wrap-distance-top:56.399999999999999pt;mso-wrap-distance-right:19.350000000000001pt;mso-wrap-distance-bottom:27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Ивановской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Жарова, 10, Иваново, 153000</w:t>
                        <w:br/>
                        <w:t>тел. (4932) 32-85-73, факс (4932) 32-63-60</w:t>
                        <w:br/>
                        <w:t>е-тай: Го37@Га§.§оу.п1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37" w:val="left"/>
                        </w:tabs>
                        <w:bidi w:val="0"/>
                        <w:spacing w:before="0"/>
                        <w:ind w:left="0" w:right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штамп 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4360A3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V-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621280" distB="0" distL="114300" distR="114300" simplePos="0" relativeHeight="125829381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2633980</wp:posOffset>
                </wp:positionV>
                <wp:extent cx="2578735" cy="15557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100000000000001pt;margin-top:207.40000000000001pt;width:203.05000000000001pt;height:12.25pt;z-index:-125829372;mso-wrap-distance-left:9.pt;mso-wrap-distance-top:206.4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Департаменту конкурсов и аукционов Ивановской области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ОБУЗ "Городская клиническая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больница №3 г. Иванова"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Шабановой К.В.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"МЕДТЕХЛИЗИНГ"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153012, Ивановская область, г. Иваново,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Советская, д. 22, оф. 312б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5320" w:right="0" w:firstLine="0"/>
        <w:jc w:val="both"/>
      </w:pPr>
      <w:r>
        <w:fldChar w:fldCharType="begin"/>
      </w:r>
      <w:r>
        <w:rPr/>
        <w:instrText> HYPERLINK "mailto:mtl.mtl@inbox.ru"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т11,т11@дпЪох.ги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4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оглашения: 05 мая 2023 года</w:t>
        <w:tab/>
        <w:t>город Иваново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изготовления: 12 мая 2023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Ивановской области по контролю в сфере закупок (далее - Комиссия Ивановского УФАС России)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 Михеевой Т.А. - ВрИО руководителя управления;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 Долакидзе Г.П. - ведущего специалиста-эксперта отдела контроля в сфере закупок; Клюшкина А.О. - ведущего специалиста-эксперта отдела контроля в сфере закупок,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Шабановой Кристины Валентиновны на действия Департамента конкурсов и аукционов Ивановской области при проведении электронного аукциона на поставку медицинского оборудования (извещение 0133200001723000259), на основании ст. 99,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и решения Ивановского УФАС России №037/06/49-231/2023 (07-15/2023-127) от 05.05.2023,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4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ОБУЗ «Городская клиническая больница №3 г. Иванова» в срок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 02.06.2023: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направленный ООО «МедТехЛизинг» проект контракта;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осуществить дальнейшие действия по проведению закупки в соответствии с требованиями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Департаменту конкурсов и аукционов Ивановской области устранить нарушение Закона о контрактной системе, для чего в срок до 02.06.2023: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составленный в ходе проведения закупки протокол подведения итогов определения поставщика (подрядчика, исполнителя) 21.04.2023 №ИЭА3, разместить соответствующую информацию на официальном сайте единой информационной системы в сфере закупок в информационно</w:t>
        <w:softHyphen/>
        <w:t>телекоммуникационной сети Интернет (\\'\\л\\/а1&lt;ир1&lt;1.до\\П1);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подведения итогов определения поставщика (подрядчика, исполнителя);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рассмотреть заявки участников закупки, поданные на участие в закупке, в соответствии с требованиями законодательства Российской Федерации о контрактной системе в сфере закупок и с учетом решения Ивановского УФАС России от 05.05.2023;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осуществить дальнейшие действия по проведению закупки в соответствии с требованиями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АО «Сбербанк-АСТ» совершить все необходимые действия, направленные на обеспечение исполнения п. 1 и 2 настоящего предписания.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8" w:val="left"/>
        </w:tabs>
        <w:bidi w:val="0"/>
        <w:spacing w:before="0" w:after="8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Департаменту конкурсов и аукционов Ивановской области сообщить в Ивановское УФАС России о выполнении настоящего предписания в дату его исполнения.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12700</wp:posOffset>
                </wp:positionV>
                <wp:extent cx="1874520" cy="75565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755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850000000000001pt;margin-top:1.pt;width:147.59999999999999pt;height:59.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Т.А. Михеева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Г.П. Долакидзе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А.О. Клюшкин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порядке и сроки, предусмотренные законом.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за невыполнение в установленный срок законного предписания антимонопольного органа ч. 7 ст. 19.5 Кодекса Российской Федерации об административных правонарушениях установлена административная ответственность.</w:t>
      </w:r>
    </w:p>
    <w:sectPr>
      <w:footerReference w:type="default" r:id="rId7"/>
      <w:footerReference w:type="even" r:id="rId8"/>
      <w:footnotePr>
        <w:pos w:val="pageBottom"/>
        <w:numFmt w:val="decimal"/>
        <w:numRestart w:val="continuous"/>
      </w:footnotePr>
      <w:pgSz w:w="11900" w:h="16840"/>
      <w:pgMar w:top="1105" w:right="539" w:bottom="1231" w:left="1099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9857740</wp:posOffset>
              </wp:positionV>
              <wp:extent cx="5702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00000000000001pt;margin-top:776.20000000000005pt;width:44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5702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788.70000000000005pt;width:44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Основной текст (5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0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3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120" w:line="262" w:lineRule="auto"/>
      <w:ind w:firstLine="320"/>
    </w:pPr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auto"/>
      <w:spacing w:after="880"/>
      <w:ind w:left="14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