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3627120</wp:posOffset>
            </wp:positionH>
            <wp:positionV relativeFrom="margin">
              <wp:posOffset>0</wp:posOffset>
            </wp:positionV>
            <wp:extent cx="646430" cy="70104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46430" cy="701040"/>
                    </a:xfrm>
                    <a:prstGeom prst="rect"/>
                  </pic:spPr>
                </pic:pic>
              </a:graphicData>
            </a:graphic>
          </wp:anchor>
        </w:drawing>
      </w:r>
    </w:p>
    <w:p>
      <w:pPr>
        <w:widowControl w:val="0"/>
        <w:spacing w:line="360" w:lineRule="exact"/>
      </w:pPr>
    </w:p>
    <w:p>
      <w:pPr>
        <w:widowControl w:val="0"/>
        <w:spacing w:after="381"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288" w:right="654" w:bottom="556" w:left="1230"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260" w:line="233" w:lineRule="auto"/>
        <w:ind w:left="0" w:right="0" w:firstLine="0"/>
        <w:jc w:val="center"/>
        <w:rPr>
          <w:sz w:val="24"/>
          <w:szCs w:val="24"/>
        </w:rPr>
      </w:pPr>
      <w:r>
        <w:rPr>
          <w:b/>
          <w:bCs/>
          <w:color w:val="000000"/>
          <w:spacing w:val="0"/>
          <w:w w:val="100"/>
          <w:position w:val="0"/>
          <w:sz w:val="26"/>
          <w:szCs w:val="26"/>
          <w:shd w:val="clear" w:color="auto" w:fill="auto"/>
          <w:lang w:val="ru-RU" w:eastAsia="ru-RU" w:bidi="ru-RU"/>
        </w:rPr>
        <w:t>МИНИСТЕРСТВО ФИНАНСОВ КАМЧАТСКОГО КРАЯ</w:t>
        <w:br/>
      </w:r>
      <w:r>
        <w:rPr>
          <w:color w:val="000000"/>
          <w:spacing w:val="0"/>
          <w:w w:val="100"/>
          <w:position w:val="0"/>
          <w:sz w:val="24"/>
          <w:szCs w:val="24"/>
          <w:shd w:val="clear" w:color="auto" w:fill="auto"/>
          <w:lang w:val="ru-RU" w:eastAsia="ru-RU" w:bidi="ru-RU"/>
        </w:rPr>
        <w:t>(Минфин Камчатского края)</w:t>
      </w:r>
    </w:p>
    <w:p>
      <w:pPr>
        <w:pStyle w:val="Style4"/>
        <w:keepNext w:val="0"/>
        <w:keepLines w:val="0"/>
        <w:widowControl w:val="0"/>
        <w:shd w:val="clear" w:color="auto" w:fill="auto"/>
        <w:bidi w:val="0"/>
        <w:spacing w:before="0" w:line="254" w:lineRule="auto"/>
        <w:ind w:left="0" w:right="0" w:firstLine="0"/>
        <w:jc w:val="center"/>
      </w:pPr>
      <w:r>
        <w:rPr>
          <w:color w:val="000000"/>
          <w:spacing w:val="0"/>
          <w:w w:val="100"/>
          <w:position w:val="0"/>
          <w:shd w:val="clear" w:color="auto" w:fill="auto"/>
          <w:lang w:val="ru-RU" w:eastAsia="ru-RU" w:bidi="ru-RU"/>
        </w:rPr>
        <w:t>пл. Ленина, д. 1, г. Петропавловск-Камчатский, 683040</w:t>
        <w:br/>
        <w:t>Тел. (факс) (4152) 41-28-60 эл. почта: ггнпНп@кат§оу.ги</w:t>
      </w:r>
    </w:p>
    <w:p>
      <w:pPr>
        <w:pStyle w:val="Style2"/>
        <w:keepNext w:val="0"/>
        <w:keepLines w:val="0"/>
        <w:widowControl w:val="0"/>
        <w:shd w:val="clear" w:color="auto" w:fill="auto"/>
        <w:bidi w:val="0"/>
        <w:spacing w:before="0" w:after="620"/>
        <w:ind w:left="0" w:right="0" w:firstLine="0"/>
        <w:jc w:val="center"/>
      </w:pPr>
      <w:r>
        <w:rPr>
          <w:color w:val="000000"/>
          <w:spacing w:val="0"/>
          <w:w w:val="100"/>
          <w:position w:val="0"/>
          <w:shd w:val="clear" w:color="auto" w:fill="auto"/>
          <w:lang w:val="ru-RU" w:eastAsia="ru-RU" w:bidi="ru-RU"/>
        </w:rPr>
        <w:t>Решение № 2/Ж</w:t>
        <w:br/>
        <w:t>по результатам рассмотрения жалобы</w:t>
      </w:r>
    </w:p>
    <w:p>
      <w:pPr>
        <w:pStyle w:val="Style2"/>
        <w:keepNext w:val="0"/>
        <w:keepLines w:val="0"/>
        <w:widowControl w:val="0"/>
        <w:shd w:val="clear" w:color="auto" w:fill="auto"/>
        <w:bidi w:val="0"/>
        <w:spacing w:before="0" w:after="0" w:line="259"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5584190</wp:posOffset>
                </wp:positionH>
                <wp:positionV relativeFrom="paragraph">
                  <wp:posOffset>215900</wp:posOffset>
                </wp:positionV>
                <wp:extent cx="1397000" cy="358775"/>
                <wp:wrapSquare wrapText="left"/>
                <wp:docPr id="5" name="Shape 5"/>
                <a:graphic xmlns:a="http://schemas.openxmlformats.org/drawingml/2006/main">
                  <a:graphicData uri="http://schemas.microsoft.com/office/word/2010/wordprocessingShape">
                    <wps:wsp>
                      <wps:cNvSpPr txBox="1"/>
                      <wps:spPr>
                        <a:xfrm>
                          <a:ext cx="1397000" cy="358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04 мая 2023 года</w:t>
                            </w:r>
                          </w:p>
                          <w:p>
                            <w:pPr>
                              <w:pStyle w:val="Style4"/>
                              <w:keepNext w:val="0"/>
                              <w:keepLines w:val="0"/>
                              <w:widowControl w:val="0"/>
                              <w:shd w:val="clear" w:color="auto" w:fill="auto"/>
                              <w:bidi w:val="0"/>
                              <w:spacing w:before="0" w:after="0" w:line="240" w:lineRule="auto"/>
                              <w:ind w:left="0" w:right="0" w:firstLine="0"/>
                              <w:jc w:val="right"/>
                            </w:pPr>
                            <w:r>
                              <w:rPr>
                                <w:i/>
                                <w:iCs/>
                                <w:color w:val="000000"/>
                                <w:spacing w:val="0"/>
                                <w:w w:val="100"/>
                                <w:position w:val="0"/>
                                <w:shd w:val="clear" w:color="auto" w:fill="auto"/>
                                <w:lang w:val="ru-RU" w:eastAsia="ru-RU" w:bidi="ru-RU"/>
                              </w:rPr>
                              <w:t>Дата принятия решения</w:t>
                            </w:r>
                          </w:p>
                        </w:txbxContent>
                      </wps:txbx>
                      <wps:bodyPr lIns="0" tIns="0" rIns="0" bIns="0">
                        <a:noAutoFit/>
                      </wps:bodyPr>
                    </wps:wsp>
                  </a:graphicData>
                </a:graphic>
              </wp:anchor>
            </w:drawing>
          </mc:Choice>
          <mc:Fallback>
            <w:pict>
              <v:shape id="_x0000_s1031" type="#_x0000_t202" style="position:absolute;margin-left:439.69999999999999pt;margin-top:17.pt;width:110.pt;height:28.2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04 мая 2023 года</w:t>
                      </w:r>
                    </w:p>
                    <w:p>
                      <w:pPr>
                        <w:pStyle w:val="Style4"/>
                        <w:keepNext w:val="0"/>
                        <w:keepLines w:val="0"/>
                        <w:widowControl w:val="0"/>
                        <w:shd w:val="clear" w:color="auto" w:fill="auto"/>
                        <w:bidi w:val="0"/>
                        <w:spacing w:before="0" w:after="0" w:line="240" w:lineRule="auto"/>
                        <w:ind w:left="0" w:right="0" w:firstLine="0"/>
                        <w:jc w:val="right"/>
                      </w:pPr>
                      <w:r>
                        <w:rPr>
                          <w:i/>
                          <w:iCs/>
                          <w:color w:val="000000"/>
                          <w:spacing w:val="0"/>
                          <w:w w:val="100"/>
                          <w:position w:val="0"/>
                          <w:shd w:val="clear" w:color="auto" w:fill="auto"/>
                          <w:lang w:val="ru-RU" w:eastAsia="ru-RU" w:bidi="ru-RU"/>
                        </w:rPr>
                        <w:t>Дата принятия решения</w:t>
                      </w:r>
                    </w:p>
                  </w:txbxContent>
                </v:textbox>
                <w10:wrap type="square" side="left" anchorx="page"/>
              </v:shape>
            </w:pict>
          </mc:Fallback>
        </mc:AlternateContent>
      </w:r>
      <w:r>
        <w:rPr>
          <w:color w:val="000000"/>
          <w:spacing w:val="0"/>
          <w:w w:val="100"/>
          <w:position w:val="0"/>
          <w:shd w:val="clear" w:color="auto" w:fill="auto"/>
          <w:lang w:val="ru-RU" w:eastAsia="ru-RU" w:bidi="ru-RU"/>
        </w:rPr>
        <w:t>г. Петропавловск-Камчатский,</w:t>
        <w:br/>
        <w:t>пл. Ленина, д. 1, каб. № 416</w:t>
      </w:r>
    </w:p>
    <w:p>
      <w:pPr>
        <w:pStyle w:val="Style4"/>
        <w:keepNext w:val="0"/>
        <w:keepLines w:val="0"/>
        <w:widowControl w:val="0"/>
        <w:shd w:val="clear" w:color="auto" w:fill="auto"/>
        <w:bidi w:val="0"/>
        <w:spacing w:before="0" w:line="240" w:lineRule="auto"/>
        <w:ind w:left="0" w:right="0" w:firstLine="560"/>
        <w:jc w:val="both"/>
      </w:pPr>
      <w:r>
        <w:rPr>
          <w:i/>
          <w:iCs/>
          <w:color w:val="000000"/>
          <w:spacing w:val="0"/>
          <w:w w:val="100"/>
          <w:position w:val="0"/>
          <w:shd w:val="clear" w:color="auto" w:fill="auto"/>
          <w:lang w:val="ru-RU" w:eastAsia="ru-RU" w:bidi="ru-RU"/>
        </w:rPr>
        <w:t>Место принятия решения</w:t>
      </w:r>
    </w:p>
    <w:p>
      <w:pPr>
        <w:pStyle w:val="Style2"/>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Комиссия Министерства финансов Камчатского края по рассмотрению жалоб на действия комиссии по осуществлению закупок краевого государственного казенного учреждения «Управление автомобильных дорог Камчатского края», поданных ООО «Альфаснаб» (ИНН 4101148850) (далее - Комиссия), в составе:</w:t>
      </w:r>
    </w:p>
    <w:p>
      <w:pPr>
        <w:pStyle w:val="Style2"/>
        <w:keepNext w:val="0"/>
        <w:keepLines w:val="0"/>
        <w:widowControl w:val="0"/>
        <w:numPr>
          <w:ilvl w:val="0"/>
          <w:numId w:val="1"/>
        </w:numPr>
        <w:shd w:val="clear" w:color="auto" w:fill="auto"/>
        <w:tabs>
          <w:tab w:pos="1063" w:val="left"/>
        </w:tabs>
        <w:bidi w:val="0"/>
        <w:spacing w:before="0" w:after="320" w:line="254" w:lineRule="auto"/>
        <w:ind w:left="700" w:right="0" w:firstLine="0"/>
        <w:jc w:val="left"/>
      </w:pPr>
      <w:r>
        <mc:AlternateContent>
          <mc:Choice Requires="wps">
            <w:drawing>
              <wp:anchor distT="0" distB="2352040" distL="114300" distR="260350" simplePos="0" relativeHeight="125829380" behindDoc="0" locked="0" layoutInCell="1" allowOverlap="1">
                <wp:simplePos x="0" y="0"/>
                <wp:positionH relativeFrom="page">
                  <wp:posOffset>852170</wp:posOffset>
                </wp:positionH>
                <wp:positionV relativeFrom="paragraph">
                  <wp:posOffset>12700</wp:posOffset>
                </wp:positionV>
                <wp:extent cx="1805940" cy="411480"/>
                <wp:wrapSquare wrapText="right"/>
                <wp:docPr id="7" name="Shape 7"/>
                <a:graphic xmlns:a="http://schemas.openxmlformats.org/drawingml/2006/main">
                  <a:graphicData uri="http://schemas.microsoft.com/office/word/2010/wordprocessingShape">
                    <wps:wsp>
                      <wps:cNvSpPr txBox="1"/>
                      <wps:spPr>
                        <a:xfrm>
                          <a:ext cx="1805940" cy="4114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Бутылин</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Александр Николаевич</w:t>
                            </w:r>
                          </w:p>
                        </w:txbxContent>
                      </wps:txbx>
                      <wps:bodyPr lIns="0" tIns="0" rIns="0" bIns="0">
                        <a:noAutoFit/>
                      </wps:bodyPr>
                    </wps:wsp>
                  </a:graphicData>
                </a:graphic>
              </wp:anchor>
            </w:drawing>
          </mc:Choice>
          <mc:Fallback>
            <w:pict>
              <v:shape id="_x0000_s1033" type="#_x0000_t202" style="position:absolute;margin-left:67.099999999999994pt;margin-top:1.pt;width:142.20000000000002pt;height:32.399999999999999pt;z-index:-125829373;mso-wrap-distance-left:9.pt;mso-wrap-distance-right:20.5pt;mso-wrap-distance-bottom:185.2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Бутылин</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Александр Николаевич</w:t>
                      </w:r>
                    </w:p>
                  </w:txbxContent>
                </v:textbox>
                <w10:wrap type="square" side="right" anchorx="page"/>
              </v:shape>
            </w:pict>
          </mc:Fallback>
        </mc:AlternateContent>
      </w:r>
      <w:r>
        <mc:AlternateContent>
          <mc:Choice Requires="wps">
            <w:drawing>
              <wp:anchor distT="612775" distB="0" distL="114300" distR="114300" simplePos="0" relativeHeight="125829382" behindDoc="0" locked="0" layoutInCell="1" allowOverlap="1">
                <wp:simplePos x="0" y="0"/>
                <wp:positionH relativeFrom="page">
                  <wp:posOffset>852170</wp:posOffset>
                </wp:positionH>
                <wp:positionV relativeFrom="paragraph">
                  <wp:posOffset>625475</wp:posOffset>
                </wp:positionV>
                <wp:extent cx="1951990" cy="2151380"/>
                <wp:wrapSquare wrapText="right"/>
                <wp:docPr id="9" name="Shape 9"/>
                <a:graphic xmlns:a="http://schemas.openxmlformats.org/drawingml/2006/main">
                  <a:graphicData uri="http://schemas.microsoft.com/office/word/2010/wordprocessingShape">
                    <wps:wsp>
                      <wps:cNvSpPr txBox="1"/>
                      <wps:spPr>
                        <a:xfrm>
                          <a:ext cx="1951990" cy="21513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Алексеева</w:t>
                            </w:r>
                          </w:p>
                          <w:p>
                            <w:pPr>
                              <w:pStyle w:val="Style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Людмила Васильевна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Баркова</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Светлана Александровна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Светлова</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Ирина Автономовна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Передерий</w:t>
                            </w:r>
                          </w:p>
                          <w:p>
                            <w:pPr>
                              <w:pStyle w:val="Style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Михаил Владимирович</w:t>
                            </w:r>
                          </w:p>
                        </w:txbxContent>
                      </wps:txbx>
                      <wps:bodyPr lIns="0" tIns="0" rIns="0" bIns="0">
                        <a:noAutoFit/>
                      </wps:bodyPr>
                    </wps:wsp>
                  </a:graphicData>
                </a:graphic>
              </wp:anchor>
            </w:drawing>
          </mc:Choice>
          <mc:Fallback>
            <w:pict>
              <v:shape id="_x0000_s1035" type="#_x0000_t202" style="position:absolute;margin-left:67.099999999999994pt;margin-top:49.25pt;width:153.70000000000002pt;height:169.40000000000001pt;z-index:-125829371;mso-wrap-distance-left:9.pt;mso-wrap-distance-top:48.25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Алексеева</w:t>
                      </w:r>
                    </w:p>
                    <w:p>
                      <w:pPr>
                        <w:pStyle w:val="Style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Людмила Васильевна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Баркова</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Светлана Александровна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Светлова</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Ирина Автономовна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Передерий</w:t>
                      </w:r>
                    </w:p>
                    <w:p>
                      <w:pPr>
                        <w:pStyle w:val="Style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Михаил Владимирович</w:t>
                      </w:r>
                    </w:p>
                  </w:txbxContent>
                </v:textbox>
                <w10:wrap type="square" side="right" anchorx="page"/>
              </v:shape>
            </w:pict>
          </mc:Fallback>
        </mc:AlternateContent>
      </w:r>
      <w:r>
        <w:rPr>
          <w:color w:val="000000"/>
          <w:spacing w:val="0"/>
          <w:w w:val="100"/>
          <w:position w:val="0"/>
          <w:shd w:val="clear" w:color="auto" w:fill="auto"/>
          <w:lang w:val="ru-RU" w:eastAsia="ru-RU" w:bidi="ru-RU"/>
        </w:rPr>
        <w:t>Министр финансов Камчатского края, председатель Комиссии;</w:t>
      </w:r>
    </w:p>
    <w:p>
      <w:pPr>
        <w:pStyle w:val="Style2"/>
        <w:keepNext w:val="0"/>
        <w:keepLines w:val="0"/>
        <w:widowControl w:val="0"/>
        <w:shd w:val="clear" w:color="auto" w:fill="auto"/>
        <w:bidi w:val="0"/>
        <w:spacing w:before="0" w:after="0" w:line="259" w:lineRule="auto"/>
        <w:ind w:left="660" w:right="420" w:firstLine="0"/>
        <w:jc w:val="right"/>
      </w:pPr>
      <w:r>
        <w:rPr>
          <w:color w:val="000000"/>
          <w:spacing w:val="0"/>
          <w:w w:val="100"/>
          <w:position w:val="0"/>
          <w:shd w:val="clear" w:color="auto" w:fill="auto"/>
          <w:lang w:val="ru-RU" w:eastAsia="ru-RU" w:bidi="ru-RU"/>
        </w:rPr>
        <w:t>заместитель Министра финансов Камчатского края;</w:t>
      </w:r>
    </w:p>
    <w:p>
      <w:pPr>
        <w:pStyle w:val="Style2"/>
        <w:keepNext w:val="0"/>
        <w:keepLines w:val="0"/>
        <w:widowControl w:val="0"/>
        <w:shd w:val="clear" w:color="auto" w:fill="auto"/>
        <w:bidi w:val="0"/>
        <w:spacing w:before="0" w:after="0" w:line="259" w:lineRule="auto"/>
        <w:ind w:left="700" w:right="0" w:firstLine="420"/>
        <w:jc w:val="both"/>
      </w:pPr>
      <w:r>
        <w:rPr>
          <w:color w:val="000000"/>
          <w:spacing w:val="0"/>
          <w:w w:val="100"/>
          <w:position w:val="0"/>
          <w:shd w:val="clear" w:color="auto" w:fill="auto"/>
          <w:lang w:val="ru-RU" w:eastAsia="ru-RU" w:bidi="ru-RU"/>
        </w:rPr>
        <w:t>заместитель начальника контрольного управления Министерства финансов Камчатского края;</w:t>
      </w:r>
    </w:p>
    <w:p>
      <w:pPr>
        <w:pStyle w:val="Style2"/>
        <w:keepNext w:val="0"/>
        <w:keepLines w:val="0"/>
        <w:widowControl w:val="0"/>
        <w:shd w:val="clear" w:color="auto" w:fill="auto"/>
        <w:bidi w:val="0"/>
        <w:spacing w:before="0" w:after="0" w:line="259" w:lineRule="auto"/>
        <w:ind w:left="700" w:right="0" w:firstLine="560"/>
        <w:jc w:val="both"/>
      </w:pPr>
      <w:r>
        <w:rPr>
          <w:color w:val="000000"/>
          <w:spacing w:val="0"/>
          <w:w w:val="100"/>
          <w:position w:val="0"/>
          <w:shd w:val="clear" w:color="auto" w:fill="auto"/>
          <w:lang w:val="ru-RU" w:eastAsia="ru-RU" w:bidi="ru-RU"/>
        </w:rPr>
        <w:t>начальник Главного контрольного управления Администрации Губернатора Камчатского края(по согласованию);</w:t>
      </w:r>
    </w:p>
    <w:p>
      <w:pPr>
        <w:pStyle w:val="Style2"/>
        <w:keepNext w:val="0"/>
        <w:keepLines w:val="0"/>
        <w:widowControl w:val="0"/>
        <w:numPr>
          <w:ilvl w:val="0"/>
          <w:numId w:val="1"/>
        </w:numPr>
        <w:shd w:val="clear" w:color="auto" w:fill="auto"/>
        <w:tabs>
          <w:tab w:pos="1063" w:val="left"/>
        </w:tabs>
        <w:bidi w:val="0"/>
        <w:spacing w:before="0" w:after="260" w:line="259" w:lineRule="auto"/>
        <w:ind w:left="700" w:right="0" w:firstLine="0"/>
        <w:jc w:val="left"/>
      </w:pPr>
      <w:r>
        <w:rPr>
          <w:color w:val="000000"/>
          <w:spacing w:val="0"/>
          <w:w w:val="100"/>
          <w:position w:val="0"/>
          <w:shd w:val="clear" w:color="auto" w:fill="auto"/>
          <w:lang w:val="ru-RU" w:eastAsia="ru-RU" w:bidi="ru-RU"/>
        </w:rPr>
        <w:t>начальник отдела дорожного хозяйства Министерства транспорта и дорожного строительства Камчатского края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участием посредством видеоконференцсвязи:</w:t>
      </w:r>
    </w:p>
    <w:p>
      <w:pPr>
        <w:pStyle w:val="Style2"/>
        <w:keepNext w:val="0"/>
        <w:keepLines w:val="0"/>
        <w:widowControl w:val="0"/>
        <w:numPr>
          <w:ilvl w:val="0"/>
          <w:numId w:val="3"/>
        </w:numPr>
        <w:shd w:val="clear" w:color="auto" w:fill="auto"/>
        <w:tabs>
          <w:tab w:pos="106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представителей заказчика - краевого государственного казенного учреждения «Управление автомобильных дорог Камчатского края» (далее - Заказчик): Каладзе И.Д. (по доверенности от 03.05.2023 № 16), Ждановой А.А. (по доверенности от 03.05.2023 № 17), Овчинникова А.В. (по доверенности от 03.05.2023 № 18), Понкратовой С.В. (по доверенности от 03.05.2023 № 19)</w:t>
      </w:r>
    </w:p>
    <w:p>
      <w:pPr>
        <w:pStyle w:val="Style2"/>
        <w:keepNext w:val="0"/>
        <w:keepLines w:val="0"/>
        <w:widowControl w:val="0"/>
        <w:numPr>
          <w:ilvl w:val="0"/>
          <w:numId w:val="3"/>
        </w:numPr>
        <w:shd w:val="clear" w:color="auto" w:fill="auto"/>
        <w:tabs>
          <w:tab w:pos="1063" w:val="left"/>
        </w:tabs>
        <w:bidi w:val="0"/>
        <w:spacing w:before="0" w:after="300" w:line="240" w:lineRule="auto"/>
        <w:ind w:left="0" w:right="0" w:firstLine="700"/>
        <w:jc w:val="both"/>
      </w:pPr>
      <w:r>
        <w:rPr>
          <w:color w:val="000000"/>
          <w:spacing w:val="0"/>
          <w:w w:val="100"/>
          <w:position w:val="0"/>
          <w:shd w:val="clear" w:color="auto" w:fill="auto"/>
          <w:lang w:val="ru-RU" w:eastAsia="ru-RU" w:bidi="ru-RU"/>
        </w:rPr>
        <w:t>представителя заявителя - общества с ограниченной ответственностью «Альфаснаб» (далее - Заявитель; Общество) в лице генерального директора Мамеевой А.А.</w:t>
      </w:r>
    </w:p>
    <w:p>
      <w:pPr>
        <w:pStyle w:val="Style2"/>
        <w:keepNext w:val="0"/>
        <w:keepLines w:val="0"/>
        <w:widowControl w:val="0"/>
        <w:shd w:val="clear" w:color="auto" w:fill="auto"/>
        <w:bidi w:val="0"/>
        <w:spacing w:before="0" w:after="0" w:line="252" w:lineRule="auto"/>
        <w:ind w:left="0" w:right="0" w:firstLine="560"/>
        <w:jc w:val="both"/>
      </w:pPr>
      <w:r>
        <w:rPr>
          <w:color w:val="000000"/>
          <w:spacing w:val="0"/>
          <w:w w:val="100"/>
          <w:position w:val="0"/>
          <w:shd w:val="clear" w:color="auto" w:fill="auto"/>
          <w:lang w:val="ru-RU" w:eastAsia="ru-RU" w:bidi="ru-RU"/>
        </w:rPr>
        <w:t>рассмотрев жалобу Заявителя на действия комиссии по осуществлению закупок краевого государственного казенного учреждения «Управление автомобильных дорог Камчатского края» (далее - комиссия по осуществлению закупок Заказчика) при определении подрядчика путем электронного аукциона на выполнение работ по реконструкции мостового перехода через р. Железная - 2 на 12 км автомобильной дороги «Садовое кольцо» в Елизовском районе Камчатского края</w:t>
      </w:r>
    </w:p>
    <w:p>
      <w:pPr>
        <w:pStyle w:val="Style2"/>
        <w:keepNext w:val="0"/>
        <w:keepLines w:val="0"/>
        <w:widowControl w:val="0"/>
        <w:shd w:val="clear" w:color="auto" w:fill="auto"/>
        <w:bidi w:val="0"/>
        <w:spacing w:before="0" w:after="260" w:line="252" w:lineRule="auto"/>
        <w:ind w:left="0" w:right="0" w:firstLine="700"/>
        <w:jc w:val="both"/>
      </w:pPr>
      <w:r>
        <w:rPr>
          <w:b/>
          <w:bCs/>
          <w:color w:val="000000"/>
          <w:spacing w:val="0"/>
          <w:w w:val="100"/>
          <w:position w:val="0"/>
          <w:shd w:val="clear" w:color="auto" w:fill="auto"/>
          <w:lang w:val="ru-RU" w:eastAsia="ru-RU" w:bidi="ru-RU"/>
        </w:rPr>
        <w:t xml:space="preserve">(закупка от 12.04.2023 извещение №0338200008723000003), </w:t>
      </w:r>
      <w:r>
        <w:rPr>
          <w:color w:val="000000"/>
          <w:spacing w:val="0"/>
          <w:w w:val="100"/>
          <w:position w:val="0"/>
          <w:shd w:val="clear" w:color="auto" w:fill="auto"/>
          <w:lang w:val="ru-RU" w:eastAsia="ru-RU" w:bidi="ru-RU"/>
        </w:rPr>
        <w:t>по результатам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260"/>
        <w:ind w:left="3560" w:right="0" w:firstLine="0"/>
        <w:jc w:val="both"/>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Заказчиком объявлена процедура определения подрядчика путем проведения ЭА (электронный аукцион) на выполнение работ по реконструкции мостового перехода через р. Железная - 2 на 12 км автомобильной дороги "Садовое кольцо" в Елизовском районе Камчатского. Извещение о закупке № </w:t>
      </w:r>
      <w:r>
        <w:rPr>
          <w:b/>
          <w:bCs/>
          <w:color w:val="000000"/>
          <w:spacing w:val="0"/>
          <w:w w:val="100"/>
          <w:position w:val="0"/>
          <w:shd w:val="clear" w:color="auto" w:fill="auto"/>
          <w:lang w:val="ru-RU" w:eastAsia="ru-RU" w:bidi="ru-RU"/>
        </w:rPr>
        <w:t xml:space="preserve">0338200008723000003 </w:t>
      </w:r>
      <w:r>
        <w:rPr>
          <w:color w:val="000000"/>
          <w:spacing w:val="0"/>
          <w:w w:val="100"/>
          <w:position w:val="0"/>
          <w:shd w:val="clear" w:color="auto" w:fill="auto"/>
          <w:lang w:val="ru-RU" w:eastAsia="ru-RU" w:bidi="ru-RU"/>
        </w:rPr>
        <w:t>размещено в ЕИС 12.04.2023.</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Начальная (максимальная) цена контракта 349 950 199,00 руб.</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Протокол № 0338200008723000003 подведения итогов определения поставщика (подрядчика, исполнителя) от 24.04.2023, подписанный членами комиссии по осуществлению закупок Заказчика, размещен в ЕИС.</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27.04.2023 через ЕИС в Министерство поступила жалоба Заявителя от 27.04.2023 № 53 на действия комиссии по осуществлению закупок Заказчика, которая, по мнению Заявителя, необоснованно отклонила заявку по формальным основаниям, участника закупки как несоответствующего дополнительным требованиям, установленным при осуществлении данной закупки, а именно требованию предусмотренному позицией 17 раздела III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о наличии у участника закупки следующего опыта выполнения работ:</w:t>
      </w:r>
    </w:p>
    <w:p>
      <w:pPr>
        <w:pStyle w:val="Style2"/>
        <w:keepNext w:val="0"/>
        <w:keepLines w:val="0"/>
        <w:widowControl w:val="0"/>
        <w:numPr>
          <w:ilvl w:val="0"/>
          <w:numId w:val="5"/>
        </w:numPr>
        <w:shd w:val="clear" w:color="auto" w:fill="auto"/>
        <w:tabs>
          <w:tab w:pos="1054" w:val="left"/>
        </w:tabs>
        <w:bidi w:val="0"/>
        <w:spacing w:before="0" w:after="0"/>
        <w:ind w:left="0" w:right="0" w:firstLine="70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2"/>
        <w:keepNext w:val="0"/>
        <w:keepLines w:val="0"/>
        <w:widowControl w:val="0"/>
        <w:numPr>
          <w:ilvl w:val="0"/>
          <w:numId w:val="5"/>
        </w:numPr>
        <w:shd w:val="clear" w:color="auto" w:fill="auto"/>
        <w:tabs>
          <w:tab w:pos="1051" w:val="left"/>
        </w:tabs>
        <w:bidi w:val="0"/>
        <w:spacing w:before="0" w:after="0"/>
        <w:ind w:left="0" w:right="0" w:firstLine="70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2"/>
        <w:keepNext w:val="0"/>
        <w:keepLines w:val="0"/>
        <w:widowControl w:val="0"/>
        <w:numPr>
          <w:ilvl w:val="0"/>
          <w:numId w:val="5"/>
        </w:numPr>
        <w:shd w:val="clear" w:color="auto" w:fill="auto"/>
        <w:tabs>
          <w:tab w:pos="1051" w:val="left"/>
        </w:tabs>
        <w:bidi w:val="0"/>
        <w:spacing w:before="0" w:after="0"/>
        <w:ind w:left="0" w:right="0" w:firstLine="70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Цена выполненных работ по договорам, предусмотренным пунктами 1 или 2 настоящей позиции, цена выполненных работ, предусмотренных пунктом 3 настоящей позиции, должна составлять: не менее 50 процентов начальной</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Поскольку начальная (максимальная) цена контракта спорного ЭА не превышает 500 млн. рублей, участник закупки должен подтвердить опыт соответствующих видов работ на сумму не менее 40 процентов начальной (максимальной) цены контракта.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качестве подтверждения соответствия указанному требованию Заявителем были представлены сведения о выполнении работ по договору подряда № 3 от 18.04.2021, согласно которому Заявителем были выполнены работы по строительству подъездной дороги, системы водоотведения ливневых и грунтовых вод, подпорных стен и индивидуального жилого дома (с учетом дополнительного соглашения №1 от 09.03.2022).</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дополнительному соглашению № 1 к договору подряда № 3, стоимость работ по строительству подъездной дороги составила 144 700 000,00 рублей.</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стоимость выполненных работ по строительству дороги соответствует требованию о том, что стоимость выполненных работ составляет не менее 40 % от начальной (максимальной) цены контракта.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мнению Заявителя, согласно итоговому протоколу № 0338200008723000003 подведения итогов определения поставщика (исполнителя, подрядчика) от 24.04.2023, заявка ООО «Альфаснаб» отклонена комиссией по осуществлению закупок Заказчика по формальному основанию, так как предметом договора № 3 является «подъездная дорога», которую заказчик не может отнести к автомобильным дорогам, по причине отсутствия прямого указания в договоре на категорию автомобильной дороги и иные характеристики. Вместе с тем, из прямого толкования пункта 17 раздела .3 Постановления № 2571 не следует, что в договоре (контракте) должно быть указание на категорию и иные характеристики дороги. Следовательно, при рассмотрении заявки, комиссия принимала решение об отклонении заявки участника, руководствуясь субъективным пониманием и расширенным толкованием норм права. Одновременно с этим Заказчик не провел анализ состава работ, из которого следует, что по составу, объему и видам работ, предметом договора является строительство дороги 4-ой категории, в связи с чем на основании постановления Правительства Российской Федерации от 12 ноября 2020 г. № 1816, разрешение на строительство объекта не требуется, следовательно, разрешение на ввод в эксплуатацию так же не требуется.</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 с доводом жалобы не согласился, в письме от 03.05.2023 № 158-942 представил возражения.</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мнению Заказчика требования, изложенные в жалобе необоснованные и не подлежат удовлетворению по следующим основаниям:</w:t>
      </w:r>
    </w:p>
    <w:p>
      <w:pPr>
        <w:pStyle w:val="Style2"/>
        <w:keepNext w:val="0"/>
        <w:keepLines w:val="0"/>
        <w:widowControl w:val="0"/>
        <w:numPr>
          <w:ilvl w:val="0"/>
          <w:numId w:val="7"/>
        </w:numPr>
        <w:shd w:val="clear" w:color="auto" w:fill="auto"/>
        <w:tabs>
          <w:tab w:pos="921" w:val="left"/>
        </w:tabs>
        <w:bidi w:val="0"/>
        <w:spacing w:before="0" w:after="0"/>
        <w:ind w:left="0" w:right="0" w:firstLine="700"/>
        <w:jc w:val="both"/>
      </w:pPr>
      <w:r>
        <w:rPr>
          <w:color w:val="000000"/>
          <w:spacing w:val="0"/>
          <w:w w:val="100"/>
          <w:position w:val="0"/>
          <w:shd w:val="clear" w:color="auto" w:fill="auto"/>
          <w:lang w:val="ru-RU" w:eastAsia="ru-RU" w:bidi="ru-RU"/>
        </w:rPr>
        <w:t>В представленном договоре № 3 отсутствует наименование автомобильной дороги и ее идентификационный номер (статья 8 Федеральный закон № 257-ФЗ).</w:t>
      </w:r>
    </w:p>
    <w:p>
      <w:pPr>
        <w:pStyle w:val="Style2"/>
        <w:keepNext w:val="0"/>
        <w:keepLines w:val="0"/>
        <w:widowControl w:val="0"/>
        <w:numPr>
          <w:ilvl w:val="0"/>
          <w:numId w:val="7"/>
        </w:numPr>
        <w:shd w:val="clear" w:color="auto" w:fill="auto"/>
        <w:tabs>
          <w:tab w:pos="910" w:val="left"/>
        </w:tabs>
        <w:bidi w:val="0"/>
        <w:spacing w:before="0" w:after="0"/>
        <w:ind w:left="0" w:right="0" w:firstLine="700"/>
        <w:jc w:val="both"/>
      </w:pPr>
      <w:r>
        <w:rPr>
          <w:color w:val="000000"/>
          <w:spacing w:val="0"/>
          <w:w w:val="100"/>
          <w:position w:val="0"/>
          <w:shd w:val="clear" w:color="auto" w:fill="auto"/>
          <w:lang w:val="ru-RU" w:eastAsia="ru-RU" w:bidi="ru-RU"/>
        </w:rPr>
        <w:t>Отсутствуют сведения занесения «подъездной дороги» в единый государственный реестр автомобильных дорог (статья 10 Федеральный закон № 257-ФЗ).</w:t>
      </w:r>
    </w:p>
    <w:p>
      <w:pPr>
        <w:pStyle w:val="Style2"/>
        <w:keepNext w:val="0"/>
        <w:keepLines w:val="0"/>
        <w:widowControl w:val="0"/>
        <w:numPr>
          <w:ilvl w:val="0"/>
          <w:numId w:val="7"/>
        </w:numPr>
        <w:shd w:val="clear" w:color="auto" w:fill="auto"/>
        <w:tabs>
          <w:tab w:pos="910" w:val="left"/>
        </w:tabs>
        <w:bidi w:val="0"/>
        <w:spacing w:before="0" w:after="0"/>
        <w:ind w:left="0" w:right="0" w:firstLine="700"/>
        <w:jc w:val="both"/>
      </w:pPr>
      <w:r>
        <w:rPr>
          <w:color w:val="000000"/>
          <w:spacing w:val="0"/>
          <w:w w:val="100"/>
          <w:position w:val="0"/>
          <w:shd w:val="clear" w:color="auto" w:fill="auto"/>
          <w:lang w:val="ru-RU" w:eastAsia="ru-RU" w:bidi="ru-RU"/>
        </w:rPr>
        <w:t>Соответственно дороги и подъездные пути, не включенные в перечень автомобильных дорог, не могут быть отнесены к автомобильным дорогам.</w:t>
      </w:r>
    </w:p>
    <w:p>
      <w:pPr>
        <w:pStyle w:val="Style2"/>
        <w:keepNext w:val="0"/>
        <w:keepLines w:val="0"/>
        <w:widowControl w:val="0"/>
        <w:numPr>
          <w:ilvl w:val="0"/>
          <w:numId w:val="7"/>
        </w:numPr>
        <w:shd w:val="clear" w:color="auto" w:fill="auto"/>
        <w:tabs>
          <w:tab w:pos="907" w:val="left"/>
        </w:tabs>
        <w:bidi w:val="0"/>
        <w:spacing w:before="0" w:after="0"/>
        <w:ind w:left="0" w:right="0" w:firstLine="700"/>
        <w:jc w:val="both"/>
      </w:pPr>
      <w:r>
        <w:rPr>
          <w:color w:val="000000"/>
          <w:spacing w:val="0"/>
          <w:w w:val="100"/>
          <w:position w:val="0"/>
          <w:shd w:val="clear" w:color="auto" w:fill="auto"/>
          <w:lang w:val="ru-RU" w:eastAsia="ru-RU" w:bidi="ru-RU"/>
        </w:rPr>
        <w:t>Соответственно, выделить объект недвижимости «подъездная дорога» не имеющего кадастрового номера, не представляется возможным, в виду отсутствия сведений, подтверждающих фактов наличия построенного объекта.</w:t>
      </w:r>
    </w:p>
    <w:p>
      <w:pPr>
        <w:pStyle w:val="Style2"/>
        <w:keepNext w:val="0"/>
        <w:keepLines w:val="0"/>
        <w:widowControl w:val="0"/>
        <w:numPr>
          <w:ilvl w:val="0"/>
          <w:numId w:val="7"/>
        </w:numPr>
        <w:shd w:val="clear" w:color="auto" w:fill="auto"/>
        <w:tabs>
          <w:tab w:pos="907" w:val="left"/>
        </w:tabs>
        <w:bidi w:val="0"/>
        <w:spacing w:before="0" w:after="0"/>
        <w:ind w:left="0" w:right="0" w:firstLine="700"/>
        <w:jc w:val="both"/>
      </w:pPr>
      <w:r>
        <w:rPr>
          <w:color w:val="000000"/>
          <w:spacing w:val="0"/>
          <w:w w:val="100"/>
          <w:position w:val="0"/>
          <w:shd w:val="clear" w:color="auto" w:fill="auto"/>
          <w:lang w:val="ru-RU" w:eastAsia="ru-RU" w:bidi="ru-RU"/>
        </w:rPr>
        <w:t>В данном случае перечень выполненных заявителем комплекса работ не позволяет определить вышеупомянутые транспортно-эксплуатационные характеристики объекта строительства.</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В результате рассмотрения жалобы, возражений на жалобу и по результатам внеплановой проверки, проведенной в соответствии с пунктом 1 части 15 статьи 99 Закона о контрактной системе, Комиссия приходит к следующему.</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
        <w:keepNext w:val="0"/>
        <w:keepLines w:val="0"/>
        <w:widowControl w:val="0"/>
        <w:numPr>
          <w:ilvl w:val="0"/>
          <w:numId w:val="9"/>
        </w:numPr>
        <w:shd w:val="clear" w:color="auto" w:fill="auto"/>
        <w:tabs>
          <w:tab w:pos="1363" w:val="left"/>
        </w:tabs>
        <w:bidi w:val="0"/>
        <w:spacing w:before="0" w:after="0"/>
        <w:ind w:left="0" w:right="0" w:firstLine="70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2"/>
        <w:keepNext w:val="0"/>
        <w:keepLines w:val="0"/>
        <w:widowControl w:val="0"/>
        <w:numPr>
          <w:ilvl w:val="0"/>
          <w:numId w:val="9"/>
        </w:numPr>
        <w:shd w:val="clear" w:color="auto" w:fill="auto"/>
        <w:tabs>
          <w:tab w:pos="1363" w:val="left"/>
        </w:tabs>
        <w:bidi w:val="0"/>
        <w:spacing w:before="0" w:after="0"/>
        <w:ind w:left="0" w:right="0" w:firstLine="700"/>
        <w:jc w:val="both"/>
      </w:pPr>
      <w:r>
        <w:rPr>
          <w:color w:val="000000"/>
          <w:spacing w:val="0"/>
          <w:w w:val="100"/>
          <w:position w:val="0"/>
          <w:shd w:val="clear" w:color="auto" w:fill="auto"/>
          <w:lang w:val="ru-RU" w:eastAsia="ru-RU" w:bidi="ru-RU"/>
        </w:rPr>
        <w:t>На праве собственности или ином основании оборудования и других материальных ресурсов для исполнения контракта;</w:t>
      </w:r>
    </w:p>
    <w:p>
      <w:pPr>
        <w:pStyle w:val="Style2"/>
        <w:keepNext w:val="0"/>
        <w:keepLines w:val="0"/>
        <w:widowControl w:val="0"/>
        <w:numPr>
          <w:ilvl w:val="0"/>
          <w:numId w:val="9"/>
        </w:numPr>
        <w:shd w:val="clear" w:color="auto" w:fill="auto"/>
        <w:tabs>
          <w:tab w:pos="1363" w:val="left"/>
          <w:tab w:pos="1380" w:val="left"/>
        </w:tabs>
        <w:bidi w:val="0"/>
        <w:spacing w:before="0" w:after="0"/>
        <w:ind w:left="0" w:right="0" w:firstLine="700"/>
        <w:jc w:val="both"/>
      </w:pPr>
      <w:r>
        <w:rPr>
          <w:color w:val="000000"/>
          <w:spacing w:val="0"/>
          <w:w w:val="100"/>
          <w:position w:val="0"/>
          <w:shd w:val="clear" w:color="auto" w:fill="auto"/>
          <w:lang w:val="ru-RU" w:eastAsia="ru-RU" w:bidi="ru-RU"/>
        </w:rPr>
        <w:t>Опыта работы, связанного с предметом контракта, и деловой</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репутации;</w:t>
      </w:r>
    </w:p>
    <w:p>
      <w:pPr>
        <w:pStyle w:val="Style2"/>
        <w:keepNext w:val="0"/>
        <w:keepLines w:val="0"/>
        <w:widowControl w:val="0"/>
        <w:numPr>
          <w:ilvl w:val="0"/>
          <w:numId w:val="9"/>
        </w:numPr>
        <w:shd w:val="clear" w:color="auto" w:fill="auto"/>
        <w:tabs>
          <w:tab w:pos="1363" w:val="left"/>
          <w:tab w:pos="1380" w:val="left"/>
        </w:tabs>
        <w:bidi w:val="0"/>
        <w:spacing w:before="0" w:after="0"/>
        <w:ind w:left="0" w:right="0" w:firstLine="700"/>
        <w:jc w:val="both"/>
      </w:pPr>
      <w:r>
        <w:rPr>
          <w:color w:val="000000"/>
          <w:spacing w:val="0"/>
          <w:w w:val="100"/>
          <w:position w:val="0"/>
          <w:shd w:val="clear" w:color="auto" w:fill="auto"/>
          <w:lang w:val="ru-RU" w:eastAsia="ru-RU" w:bidi="ru-RU"/>
        </w:rPr>
        <w:t>Необходимого количества специалистов и иных работников</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определенного уровня квалификации для исполнения контракта.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части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(исполнителей, подрядчиков) обязаны устанавливать такие дополнительные требования.</w:t>
      </w:r>
    </w:p>
    <w:p>
      <w:pPr>
        <w:pStyle w:val="Style2"/>
        <w:keepNext w:val="0"/>
        <w:keepLines w:val="0"/>
        <w:widowControl w:val="0"/>
        <w:shd w:val="clear" w:color="auto" w:fill="auto"/>
        <w:tabs>
          <w:tab w:leader="underscore" w:pos="9889" w:val="left"/>
        </w:tabs>
        <w:bidi w:val="0"/>
        <w:spacing w:before="0" w:after="0"/>
        <w:ind w:left="0" w:right="0" w:firstLine="700"/>
        <w:jc w:val="both"/>
      </w:pPr>
      <w:r>
        <w:rPr>
          <w:color w:val="000000"/>
          <w:spacing w:val="0"/>
          <w:w w:val="100"/>
          <w:position w:val="0"/>
          <w:shd w:val="clear" w:color="auto" w:fill="auto"/>
          <w:lang w:val="ru-RU" w:eastAsia="ru-RU" w:bidi="ru-RU"/>
        </w:rPr>
        <w:t>Указанные дополнительные требования, а также перечень документов, подтверждающих соответствие участников закупки таким требованиям, у стан о в л е н ы_П о ста н о</w:t>
      </w:r>
      <w:r>
        <w:rPr>
          <w:color w:val="000000"/>
          <w:spacing w:val="0"/>
          <w:w w:val="100"/>
          <w:position w:val="0"/>
          <w:u w:val="single"/>
          <w:shd w:val="clear" w:color="auto" w:fill="auto"/>
          <w:lang w:val="ru-RU" w:eastAsia="ru-RU" w:bidi="ru-RU"/>
        </w:rPr>
        <w:t>влением № 2571, в частности позицией 17 раздела 111:</w:t>
      </w:r>
      <w:r>
        <w:rPr>
          <w:color w:val="000000"/>
          <w:spacing w:val="0"/>
          <w:w w:val="100"/>
          <w:position w:val="0"/>
          <w:shd w:val="clear" w:color="auto" w:fill="auto"/>
          <w:lang w:val="ru-RU" w:eastAsia="ru-RU" w:bidi="ru-RU"/>
        </w:rPr>
        <w:tab/>
      </w:r>
    </w:p>
    <w:tbl>
      <w:tblPr>
        <w:tblOverlap w:val="never"/>
        <w:jc w:val="center"/>
        <w:tblLayout w:type="fixed"/>
      </w:tblPr>
      <w:tblGrid>
        <w:gridCol w:w="565"/>
        <w:gridCol w:w="1847"/>
        <w:gridCol w:w="3834"/>
        <w:gridCol w:w="3697"/>
      </w:tblGrid>
      <w:tr>
        <w:trPr>
          <w:trHeight w:val="738"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отдельных видов товаров, работ.</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Дополнительные требования к участникам закупки</w:t>
            </w:r>
          </w:p>
        </w:tc>
        <w:tc>
          <w:tcPr>
            <w:tcBorders>
              <w:top w:val="single" w:sz="4"/>
              <w:left w:val="single" w:sz="4"/>
              <w:bottom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Информация и документы, подтверждающие соответствие</w:t>
            </w:r>
          </w:p>
        </w:tc>
      </w:tr>
    </w:tbl>
    <w:p>
      <w:pPr>
        <w:widowControl w:val="0"/>
        <w:spacing w:line="1" w:lineRule="exact"/>
      </w:pPr>
      <w:r>
        <w:br w:type="page"/>
      </w:r>
    </w:p>
    <w:tbl>
      <w:tblPr>
        <w:tblOverlap w:val="never"/>
        <w:jc w:val="center"/>
        <w:tblLayout w:type="fixed"/>
      </w:tblPr>
      <w:tblGrid>
        <w:gridCol w:w="569"/>
        <w:gridCol w:w="1847"/>
        <w:gridCol w:w="3838"/>
        <w:gridCol w:w="3712"/>
      </w:tblGrid>
      <w:tr>
        <w:trPr>
          <w:trHeight w:val="256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52" w:lineRule="auto"/>
              <w:ind w:left="0" w:right="0" w:firstLine="0"/>
              <w:jc w:val="center"/>
              <w:rPr>
                <w:sz w:val="19"/>
                <w:szCs w:val="19"/>
              </w:rPr>
            </w:pPr>
            <w:r>
              <w:rPr>
                <w:color w:val="000000"/>
                <w:spacing w:val="0"/>
                <w:w w:val="100"/>
                <w:position w:val="0"/>
                <w:sz w:val="19"/>
                <w:szCs w:val="19"/>
                <w:shd w:val="clear" w:color="auto" w:fill="auto"/>
                <w:lang w:val="ru-RU" w:eastAsia="ru-RU" w:bidi="ru-RU"/>
              </w:rPr>
              <w:t>услуг, являющихся объектом закупки, наименование, товаров, работ, услуг, ЯВЛЯЮЩИХСЯ объектом отдельных видов закупок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участников закупки дополнительным требованиям</w:t>
            </w:r>
          </w:p>
        </w:tc>
      </w:tr>
      <w:tr>
        <w:trPr>
          <w:trHeight w:val="12154" w:hRule="exact"/>
        </w:trPr>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17.</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tabs>
                <w:tab w:pos="1382"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Работы</w:t>
              <w:tab/>
              <w:t>по</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строительству, реконструкции, капитальному ремонту автомобильной дороги</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наличие у участника закупки следующего опыта выполнения работ:</w:t>
            </w:r>
          </w:p>
          <w:p>
            <w:pPr>
              <w:pStyle w:val="Style15"/>
              <w:keepNext w:val="0"/>
              <w:keepLines w:val="0"/>
              <w:widowControl w:val="0"/>
              <w:numPr>
                <w:ilvl w:val="0"/>
                <w:numId w:val="11"/>
              </w:numPr>
              <w:shd w:val="clear" w:color="auto" w:fill="auto"/>
              <w:tabs>
                <w:tab w:pos="266"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5"/>
              <w:keepNext w:val="0"/>
              <w:keepLines w:val="0"/>
              <w:widowControl w:val="0"/>
              <w:numPr>
                <w:ilvl w:val="0"/>
                <w:numId w:val="11"/>
              </w:numPr>
              <w:shd w:val="clear" w:color="auto" w:fill="auto"/>
              <w:tabs>
                <w:tab w:pos="266"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5"/>
              <w:keepNext w:val="0"/>
              <w:keepLines w:val="0"/>
              <w:widowControl w:val="0"/>
              <w:numPr>
                <w:ilvl w:val="0"/>
                <w:numId w:val="11"/>
              </w:numPr>
              <w:shd w:val="clear" w:color="auto" w:fill="auto"/>
              <w:tabs>
                <w:tab w:pos="266"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каин тал ы ю м у р е м о и ту автомобильной дороги.</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50 процентов начальной (максимальной) цены контракта, заключаемого но результатам определения поставщика (подрядчика, исполнителя), если начальная (максимальная) цена контракта нс превышает 100 млн. рублей;</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tc>
        <w:tc>
          <w:tcPr>
            <w:tcBorders>
              <w:top w:val="single" w:sz="4"/>
              <w:left w:val="single" w:sz="4"/>
              <w:bottom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 1) исполненный договор;</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 1) исполненный договор;</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 акт выполненных работ, подтверждающий цену выполненных работ.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w:t>
            </w:r>
          </w:p>
        </w:tc>
      </w:tr>
    </w:tbl>
    <w:p>
      <w:pPr>
        <w:widowControl w:val="0"/>
        <w:spacing w:line="1" w:lineRule="exact"/>
      </w:pPr>
    </w:p>
    <w:tbl>
      <w:tblPr>
        <w:tblOverlap w:val="never"/>
        <w:jc w:val="center"/>
        <w:tblLayout w:type="fixed"/>
      </w:tblPr>
      <w:tblGrid>
        <w:gridCol w:w="565"/>
        <w:gridCol w:w="1847"/>
        <w:gridCol w:w="3838"/>
        <w:gridCol w:w="3712"/>
      </w:tblGrid>
      <w:tr>
        <w:trPr>
          <w:trHeight w:val="280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tc>
        <w:tc>
          <w:tcPr>
            <w:tcBorders>
              <w:top w:val="single" w:sz="4"/>
              <w:left w:val="single" w:sz="4"/>
              <w:bottom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капитального строительства" проектной документации:</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 разрешение па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pPr>
        <w:widowControl w:val="0"/>
        <w:spacing w:after="319" w:line="1" w:lineRule="exact"/>
      </w:pPr>
    </w:p>
    <w:p>
      <w:pPr>
        <w:pStyle w:val="Style2"/>
        <w:keepNext w:val="0"/>
        <w:keepLines w:val="0"/>
        <w:widowControl w:val="0"/>
        <w:shd w:val="clear" w:color="auto" w:fill="auto"/>
        <w:bidi w:val="0"/>
        <w:spacing w:before="0" w:after="0" w:line="276" w:lineRule="auto"/>
        <w:ind w:left="0" w:right="0" w:firstLine="720"/>
        <w:jc w:val="both"/>
        <w:rPr>
          <w:sz w:val="30"/>
          <w:szCs w:val="30"/>
        </w:rPr>
      </w:pPr>
      <w:r>
        <w:rPr>
          <w:color w:val="000000"/>
          <w:spacing w:val="0"/>
          <w:w w:val="100"/>
          <w:position w:val="0"/>
          <w:sz w:val="26"/>
          <w:szCs w:val="26"/>
          <w:shd w:val="clear" w:color="auto" w:fill="auto"/>
          <w:lang w:val="ru-RU" w:eastAsia="ru-RU" w:bidi="ru-RU"/>
        </w:rPr>
        <w:t xml:space="preserve">Предметом Закупки является реконструкция мостового перехода через р. Железная - 2 на 12 км автомобильной дороги "Садовое кольцо" в Елизовском районе Камчатского края; начальная (максимальная) цена контракта составляет </w:t>
      </w:r>
      <w:r>
        <w:rPr>
          <w:color w:val="000000"/>
          <w:spacing w:val="0"/>
          <w:w w:val="100"/>
          <w:position w:val="0"/>
          <w:sz w:val="30"/>
          <w:szCs w:val="30"/>
          <w:shd w:val="clear" w:color="auto" w:fill="auto"/>
          <w:lang w:val="ru-RU" w:eastAsia="ru-RU" w:bidi="ru-RU"/>
        </w:rPr>
        <w:t>349 950 199,00 руб.</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Следовательно, при осуществлении Закупки Заказчик обязан был установить дополнительное требование к участникам Закупки в соответствии с частью 2 статьи 31 Закона о контрактной системе, позицией 17 раздела III приложения к Постановлению № 2571. Такие требования были установлены Заказчиком в извещении о проведении электронного аукциона от 10.04.2023 для закупки № 0338200008723000002.</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 протоколе № 0338200008723000003 подведения итогов определения поставщика (подрядчика, исполнителя) от 26.04.2023 комиссией по осуществлению закупок Заказчика было принято решение отклонить заявку с идентификационным номером 2 (порядковый №1), поданную ООО «Альфаснаб» (Заявитель), по следующим основаниям:</w:t>
      </w:r>
    </w:p>
    <w:p>
      <w:pPr>
        <w:pStyle w:val="Style2"/>
        <w:keepNext w:val="0"/>
        <w:keepLines w:val="0"/>
        <w:widowControl w:val="0"/>
        <w:shd w:val="clear" w:color="auto" w:fill="auto"/>
        <w:bidi w:val="0"/>
        <w:spacing w:before="0" w:after="0" w:line="259" w:lineRule="auto"/>
        <w:ind w:left="0" w:right="0" w:firstLine="720"/>
        <w:jc w:val="both"/>
      </w:pPr>
      <w:r>
        <w:rPr>
          <w:i/>
          <w:iCs/>
          <w:color w:val="000000"/>
          <w:spacing w:val="0"/>
          <w:w w:val="100"/>
          <w:position w:val="0"/>
          <w:shd w:val="clear" w:color="auto" w:fill="auto"/>
          <w:lang w:val="ru-RU" w:eastAsia="ru-RU" w:bidi="ru-RU"/>
        </w:rPr>
        <w:t>«В соответствии с условиями закупки к участникам установлено дополнительное требование по ч. 2 ст. 31 Закона № 44-ФЗ, а именно: пунктом 1 позиции 17 раздела III ПП РФ от 29.12.2021 № 2571 требуется наличие у участника закупки опыта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2"/>
        <w:keepNext w:val="0"/>
        <w:keepLines w:val="0"/>
        <w:widowControl w:val="0"/>
        <w:shd w:val="clear" w:color="auto" w:fill="auto"/>
        <w:bidi w:val="0"/>
        <w:spacing w:before="0" w:after="0" w:line="259" w:lineRule="auto"/>
        <w:ind w:left="0" w:right="0" w:firstLine="720"/>
        <w:jc w:val="both"/>
      </w:pPr>
      <w:r>
        <w:rPr>
          <w:i/>
          <w:iCs/>
          <w:color w:val="000000"/>
          <w:spacing w:val="0"/>
          <w:w w:val="100"/>
          <w:position w:val="0"/>
          <w:shd w:val="clear" w:color="auto" w:fill="auto"/>
          <w:lang w:val="ru-RU" w:eastAsia="ru-RU" w:bidi="ru-RU"/>
        </w:rPr>
        <w:t>При рассмотрении предоставленных участником документов, подтверждающих опыт, комиссией выявлено следующее:</w:t>
      </w:r>
    </w:p>
    <w:p>
      <w:pPr>
        <w:pStyle w:val="Style2"/>
        <w:keepNext w:val="0"/>
        <w:keepLines w:val="0"/>
        <w:widowControl w:val="0"/>
        <w:numPr>
          <w:ilvl w:val="0"/>
          <w:numId w:val="13"/>
        </w:numPr>
        <w:shd w:val="clear" w:color="auto" w:fill="auto"/>
        <w:tabs>
          <w:tab w:pos="1195" w:val="left"/>
        </w:tabs>
        <w:bidi w:val="0"/>
        <w:spacing w:before="0" w:after="0" w:line="259" w:lineRule="auto"/>
        <w:ind w:left="0" w:right="0" w:firstLine="720"/>
        <w:jc w:val="both"/>
      </w:pPr>
      <w:r>
        <w:rPr>
          <w:i/>
          <w:iCs/>
          <w:color w:val="000000"/>
          <w:spacing w:val="0"/>
          <w:w w:val="100"/>
          <w:position w:val="0"/>
          <w:shd w:val="clear" w:color="auto" w:fill="auto"/>
          <w:lang w:val="ru-RU" w:eastAsia="ru-RU" w:bidi="ru-RU"/>
        </w:rPr>
        <w:t>договором предусмотрено в том числе выполнение работ по строительству подъездной дороги с системой водоотведения ливневых и грунтовых вод и подпорных стен, вместе с тем предметом договора является выполнение работ по строительству индивидуального жилого дома, подъездной дороги с системой водоотведения ливневых и грунтовых вод и подпорных стен, т.е. предмет не соответствует требованиям ПП РФ от 29.12.2021 № 2571;</w:t>
      </w:r>
    </w:p>
    <w:p>
      <w:pPr>
        <w:pStyle w:val="Style2"/>
        <w:keepNext w:val="0"/>
        <w:keepLines w:val="0"/>
        <w:widowControl w:val="0"/>
        <w:numPr>
          <w:ilvl w:val="0"/>
          <w:numId w:val="13"/>
        </w:numPr>
        <w:shd w:val="clear" w:color="auto" w:fill="auto"/>
        <w:tabs>
          <w:tab w:pos="1195" w:val="left"/>
        </w:tabs>
        <w:bidi w:val="0"/>
        <w:spacing w:before="0" w:after="0" w:line="259" w:lineRule="auto"/>
        <w:ind w:left="0" w:right="0" w:firstLine="720"/>
        <w:jc w:val="both"/>
      </w:pPr>
      <w:r>
        <w:rPr>
          <w:i/>
          <w:iCs/>
          <w:color w:val="000000"/>
          <w:spacing w:val="0"/>
          <w:w w:val="100"/>
          <w:position w:val="0"/>
          <w:shd w:val="clear" w:color="auto" w:fill="auto"/>
          <w:lang w:val="ru-RU" w:eastAsia="ru-RU" w:bidi="ru-RU"/>
        </w:rPr>
        <w:t>комиссией не представляется возможным определить характеристики (значение, вид разрешенного использования, класс категории и прочие) отнесения "подъездная дорога" к объекту транспортной инфраструктуры (автомобильная дорога);</w:t>
      </w:r>
    </w:p>
    <w:p>
      <w:pPr>
        <w:pStyle w:val="Style2"/>
        <w:keepNext w:val="0"/>
        <w:keepLines w:val="0"/>
        <w:widowControl w:val="0"/>
        <w:numPr>
          <w:ilvl w:val="0"/>
          <w:numId w:val="13"/>
        </w:numPr>
        <w:shd w:val="clear" w:color="auto" w:fill="auto"/>
        <w:tabs>
          <w:tab w:pos="1195" w:val="left"/>
        </w:tabs>
        <w:bidi w:val="0"/>
        <w:spacing w:before="0" w:after="160" w:line="259" w:lineRule="auto"/>
        <w:ind w:left="0" w:right="0" w:firstLine="720"/>
        <w:jc w:val="both"/>
      </w:pPr>
      <w:r>
        <w:rPr>
          <w:i/>
          <w:iCs/>
          <w:color w:val="000000"/>
          <w:spacing w:val="0"/>
          <w:w w:val="100"/>
          <w:position w:val="0"/>
          <w:shd w:val="clear" w:color="auto" w:fill="auto"/>
          <w:lang w:val="ru-RU" w:eastAsia="ru-RU" w:bidi="ru-RU"/>
        </w:rPr>
        <w:t>участником предоставлен Акт о приемке выполненных работ по строительству индивидуального жилого дома, подъездной дороги с системой водоотведения ливневых и грунтовых вод и подпорных стен № 1 от 30.03.2022г.,</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shd w:val="clear" w:color="auto" w:fill="auto"/>
          <w:lang w:val="ru-RU" w:eastAsia="ru-RU" w:bidi="ru-RU"/>
        </w:rPr>
        <w:t>/77.</w:t>
      </w:r>
      <w:r>
        <w:rPr>
          <w:i/>
          <w:iCs/>
          <w:color w:val="000000"/>
          <w:spacing w:val="0"/>
          <w:w w:val="100"/>
          <w:position w:val="0"/>
          <w:shd w:val="clear" w:color="auto" w:fill="auto"/>
          <w:lang w:val="ru-RU" w:eastAsia="ru-RU" w:bidi="ru-RU"/>
        </w:rPr>
        <w:t>е. предмет Акта не соответствует требованиям ПП РФ от 29.12.2021 № 2571.</w:t>
      </w:r>
    </w:p>
    <w:p>
      <w:pPr>
        <w:pStyle w:val="Style2"/>
        <w:keepNext w:val="0"/>
        <w:keepLines w:val="0"/>
        <w:widowControl w:val="0"/>
        <w:shd w:val="clear" w:color="auto" w:fill="auto"/>
        <w:tabs>
          <w:tab w:pos="1789" w:val="left"/>
        </w:tabs>
        <w:bidi w:val="0"/>
        <w:spacing w:before="0" w:after="0"/>
        <w:ind w:left="0" w:right="0" w:firstLine="700"/>
        <w:jc w:val="both"/>
      </w:pPr>
      <w:r>
        <w:rPr>
          <w:i/>
          <w:iCs/>
          <w:color w:val="000000"/>
          <w:spacing w:val="0"/>
          <w:w w:val="100"/>
          <w:position w:val="0"/>
          <w:shd w:val="clear" w:color="auto" w:fill="auto"/>
          <w:lang w:val="ru-RU" w:eastAsia="ru-RU" w:bidi="ru-RU"/>
        </w:rPr>
        <w:t>На основании вышеизложенного комиссия приходит к выводу, что представленная информация и документы не подтверждают соответствие участника закупки требованиям позиции 17 раздела III ПП РФ от 29.12.2021</w:t>
        <w:tab/>
        <w:t>№ 2571. Участник закупки не соответствует требованиям,</w:t>
      </w:r>
    </w:p>
    <w:p>
      <w:pPr>
        <w:pStyle w:val="Style2"/>
        <w:keepNext w:val="0"/>
        <w:keepLines w:val="0"/>
        <w:widowControl w:val="0"/>
        <w:shd w:val="clear" w:color="auto" w:fill="auto"/>
        <w:bidi w:val="0"/>
        <w:spacing w:before="0" w:after="0"/>
        <w:ind w:left="0" w:right="0" w:firstLine="0"/>
        <w:jc w:val="left"/>
      </w:pPr>
      <w:r>
        <w:rPr>
          <w:i/>
          <w:iCs/>
          <w:color w:val="000000"/>
          <w:spacing w:val="0"/>
          <w:w w:val="100"/>
          <w:position w:val="0"/>
          <w:shd w:val="clear" w:color="auto" w:fill="auto"/>
          <w:lang w:val="ru-RU" w:eastAsia="ru-RU" w:bidi="ru-RU"/>
        </w:rPr>
        <w:t>установленным в извещении об осуществлении закупки в соответствии с ч. 2 ст. 31 Закона № 44-ФЗ».</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При рассмотрении заявки, поданной Заявителем на участие в Закупке, Комиссией установлено, что в составе Заявки, представлен договор от 18.04.2021 № 3 на выполнение работ по строительству индивидуального жилого дома, </w:t>
      </w:r>
      <w:r>
        <w:rPr>
          <w:color w:val="000000"/>
          <w:spacing w:val="0"/>
          <w:w w:val="100"/>
          <w:position w:val="0"/>
          <w:u w:val="single"/>
          <w:shd w:val="clear" w:color="auto" w:fill="auto"/>
          <w:lang w:val="ru-RU" w:eastAsia="ru-RU" w:bidi="ru-RU"/>
        </w:rPr>
        <w:t>подъездной дороги с системой водоотведения ливневых и грунтовых вод и подпорных стен</w:t>
      </w:r>
      <w:r>
        <w:rPr>
          <w:color w:val="000000"/>
          <w:spacing w:val="0"/>
          <w:w w:val="100"/>
          <w:position w:val="0"/>
          <w:shd w:val="clear" w:color="auto" w:fill="auto"/>
          <w:lang w:val="ru-RU" w:eastAsia="ru-RU" w:bidi="ru-RU"/>
        </w:rPr>
        <w:t xml:space="preserve"> (цена договора - 370 035 000,0 рублей) (далее - договор № 3); дополнительное соглашение № 1 от 09.03.2022 к договору подряда № 3, где указана </w:t>
      </w:r>
      <w:r>
        <w:rPr>
          <w:color w:val="000000"/>
          <w:spacing w:val="0"/>
          <w:w w:val="100"/>
          <w:position w:val="0"/>
          <w:u w:val="single"/>
          <w:shd w:val="clear" w:color="auto" w:fill="auto"/>
          <w:lang w:val="ru-RU" w:eastAsia="ru-RU" w:bidi="ru-RU"/>
        </w:rPr>
        <w:t>стоимость работ по строительству подъездной дороги - 144 700 000,0 рублей, что соответствует требованию о том, что стоимость выполненных работ по строительству дороги должна составлять не менее 40 % от начальной (максимальной) цены контракта</w:t>
      </w:r>
      <w:r>
        <w:rPr>
          <w:color w:val="000000"/>
          <w:spacing w:val="0"/>
          <w:w w:val="100"/>
          <w:position w:val="0"/>
          <w:shd w:val="clear" w:color="auto" w:fill="auto"/>
          <w:lang w:val="ru-RU" w:eastAsia="ru-RU" w:bidi="ru-RU"/>
        </w:rPr>
        <w:t xml:space="preserve">. Также в составе заявки имеются: </w:t>
      </w:r>
      <w:r>
        <w:rPr>
          <w:color w:val="000000"/>
          <w:spacing w:val="0"/>
          <w:w w:val="100"/>
          <w:position w:val="0"/>
          <w:u w:val="single"/>
          <w:shd w:val="clear" w:color="auto" w:fill="auto"/>
          <w:lang w:val="ru-RU" w:eastAsia="ru-RU" w:bidi="ru-RU"/>
        </w:rPr>
        <w:t>Акт приемки выполненных работ</w:t>
      </w:r>
      <w:r>
        <w:rPr>
          <w:color w:val="000000"/>
          <w:spacing w:val="0"/>
          <w:w w:val="100"/>
          <w:position w:val="0"/>
          <w:shd w:val="clear" w:color="auto" w:fill="auto"/>
          <w:lang w:val="ru-RU" w:eastAsia="ru-RU" w:bidi="ru-RU"/>
        </w:rPr>
        <w:t xml:space="preserve"> (унифицированная форма №КС-2) от 30.03.2022 №1 с перечнем выполненных работ, который полностью соответствует приложению №1 к договору № 3; </w:t>
      </w:r>
      <w:r>
        <w:rPr>
          <w:color w:val="000000"/>
          <w:spacing w:val="0"/>
          <w:w w:val="100"/>
          <w:position w:val="0"/>
          <w:u w:val="single"/>
          <w:shd w:val="clear" w:color="auto" w:fill="auto"/>
          <w:lang w:val="ru-RU" w:eastAsia="ru-RU" w:bidi="ru-RU"/>
        </w:rPr>
        <w:t>Акт приемки законченного строительства объекта от 30.03.2022 №1</w:t>
      </w:r>
      <w:r>
        <w:rPr>
          <w:color w:val="000000"/>
          <w:spacing w:val="0"/>
          <w:w w:val="100"/>
          <w:position w:val="0"/>
          <w:shd w:val="clear" w:color="auto" w:fill="auto"/>
          <w:lang w:val="ru-RU" w:eastAsia="ru-RU" w:bidi="ru-RU"/>
        </w:rPr>
        <w:t xml:space="preserve"> (типовая межотраслевая форма № КС-11); </w:t>
      </w:r>
      <w:r>
        <w:rPr>
          <w:color w:val="000000"/>
          <w:spacing w:val="0"/>
          <w:w w:val="100"/>
          <w:position w:val="0"/>
          <w:u w:val="single"/>
          <w:shd w:val="clear" w:color="auto" w:fill="auto"/>
          <w:lang w:val="ru-RU" w:eastAsia="ru-RU" w:bidi="ru-RU"/>
        </w:rPr>
        <w:t>Справка о стоимости выполненных работ и затрат № 1 от 30.03.2022 (унифицированная форма № КС-3)</w:t>
      </w:r>
      <w:r>
        <w:rPr>
          <w:color w:val="000000"/>
          <w:spacing w:val="0"/>
          <w:w w:val="100"/>
          <w:position w:val="0"/>
          <w:shd w:val="clear" w:color="auto" w:fill="auto"/>
          <w:lang w:val="ru-RU" w:eastAsia="ru-RU" w:bidi="ru-RU"/>
        </w:rPr>
        <w:t>, которые являются документами, подтверждающими соответствие участника закупки дополнительным требованиям.</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комиссия Заказчика, при рассмотрении второй части заявки ООО «Альфаснаб» указала, что предмет договора, представленный в качестве подтверждения опыта работ не соответствует требованиям ПП РФ от 29.12.2021 № 2571, предмет Акта не соответствует требованиям ПП РФ от 29.12.2021 № 2571.</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в протоколе отмечено, что «Комиссии Заказчика не представляется возможным определить характеристики (значение, вид разрешенного использования, класс категории и прочие отнесения "подъездная дорога" к объекту транспортной инфраструктуры (автомобильная дорога).».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соответствии с ч.2 и ч.2.1. ст. 31 Федерального закона от 05.04.2013 № 44- ФЗ применительно к электронному аукциону (п.12 ч.1 ст. 42) извещение об осуществлении закупки содержит требования, предъявляемые к участникам закупки, в указанной процедуре - опыт работ, связанный с предметом контракта, и </w:t>
      </w:r>
      <w:r>
        <w:rPr>
          <w:color w:val="000000"/>
          <w:spacing w:val="0"/>
          <w:w w:val="100"/>
          <w:position w:val="0"/>
          <w:u w:val="single"/>
          <w:shd w:val="clear" w:color="auto" w:fill="auto"/>
          <w:lang w:val="ru-RU" w:eastAsia="ru-RU" w:bidi="ru-RU"/>
        </w:rPr>
        <w:t>исчерпывающий перечень документов</w:t>
      </w:r>
      <w:r>
        <w:rPr>
          <w:color w:val="000000"/>
          <w:spacing w:val="0"/>
          <w:w w:val="100"/>
          <w:position w:val="0"/>
          <w:shd w:val="clear" w:color="auto" w:fill="auto"/>
          <w:lang w:val="ru-RU" w:eastAsia="ru-RU" w:bidi="ru-RU"/>
        </w:rPr>
        <w:t>, подтверждающих соответствие участника закупки таким требованиям.</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разделе 1 Приложения № 4 к извещению о проведении электронного аукциона </w:t>
      </w:r>
      <w:r>
        <w:rPr>
          <w:b/>
          <w:bCs/>
          <w:color w:val="000000"/>
          <w:spacing w:val="0"/>
          <w:w w:val="100"/>
          <w:position w:val="0"/>
          <w:shd w:val="clear" w:color="auto" w:fill="auto"/>
          <w:lang w:val="ru-RU" w:eastAsia="ru-RU" w:bidi="ru-RU"/>
        </w:rPr>
        <w:t xml:space="preserve">«ТРЕБОВАНИЯ К СОДЕРЖАНИЮ, СОСТАВУ ЗАЯВКИ НА УЧАСТИЕ В ЗАКУПКЕ» </w:t>
      </w:r>
      <w:r>
        <w:rPr>
          <w:color w:val="000000"/>
          <w:spacing w:val="0"/>
          <w:w w:val="100"/>
          <w:position w:val="0"/>
          <w:shd w:val="clear" w:color="auto" w:fill="auto"/>
          <w:lang w:val="ru-RU" w:eastAsia="ru-RU" w:bidi="ru-RU"/>
        </w:rPr>
        <w:t xml:space="preserve">1. Для участия в </w:t>
      </w:r>
      <w:r>
        <w:rPr>
          <w:b/>
          <w:bCs/>
          <w:color w:val="000000"/>
          <w:spacing w:val="0"/>
          <w:w w:val="100"/>
          <w:position w:val="0"/>
          <w:shd w:val="clear" w:color="auto" w:fill="auto"/>
          <w:lang w:val="ru-RU" w:eastAsia="ru-RU" w:bidi="ru-RU"/>
        </w:rPr>
        <w:t xml:space="preserve">электронном аукционе </w:t>
      </w:r>
      <w:r>
        <w:rPr>
          <w:color w:val="000000"/>
          <w:spacing w:val="0"/>
          <w:w w:val="100"/>
          <w:position w:val="0"/>
          <w:shd w:val="clear" w:color="auto" w:fill="auto"/>
          <w:lang w:val="ru-RU" w:eastAsia="ru-RU" w:bidi="ru-RU"/>
        </w:rPr>
        <w:t>заявка на участие в закупке должна содержать:</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Информацию и документы, подтверждающие соответствие участников закупки дополнительным требованиям.</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 случае наличия опыта, предусмотренного пунктом 1 настоящей позиции:</w:t>
      </w:r>
    </w:p>
    <w:p>
      <w:pPr>
        <w:pStyle w:val="Style2"/>
        <w:keepNext w:val="0"/>
        <w:keepLines w:val="0"/>
        <w:widowControl w:val="0"/>
        <w:numPr>
          <w:ilvl w:val="0"/>
          <w:numId w:val="15"/>
        </w:numPr>
        <w:shd w:val="clear" w:color="auto" w:fill="auto"/>
        <w:tabs>
          <w:tab w:pos="320" w:val="left"/>
        </w:tabs>
        <w:bidi w:val="0"/>
        <w:spacing w:before="0" w:after="0"/>
        <w:ind w:left="0" w:right="0" w:firstLine="0"/>
        <w:jc w:val="both"/>
      </w:pPr>
      <w:r>
        <w:rPr>
          <w:color w:val="000000"/>
          <w:spacing w:val="0"/>
          <w:w w:val="100"/>
          <w:position w:val="0"/>
          <w:shd w:val="clear" w:color="auto" w:fill="auto"/>
          <w:lang w:val="ru-RU" w:eastAsia="ru-RU" w:bidi="ru-RU"/>
        </w:rPr>
        <w:t>исполненный договор;</w:t>
      </w:r>
    </w:p>
    <w:p>
      <w:pPr>
        <w:pStyle w:val="Style2"/>
        <w:keepNext w:val="0"/>
        <w:keepLines w:val="0"/>
        <w:widowControl w:val="0"/>
        <w:numPr>
          <w:ilvl w:val="0"/>
          <w:numId w:val="15"/>
        </w:numPr>
        <w:shd w:val="clear" w:color="auto" w:fill="auto"/>
        <w:tabs>
          <w:tab w:pos="352" w:val="left"/>
        </w:tabs>
        <w:bidi w:val="0"/>
        <w:spacing w:before="0" w:after="0"/>
        <w:ind w:left="0" w:right="0" w:firstLine="0"/>
        <w:jc w:val="both"/>
      </w:pPr>
      <w:r>
        <w:rPr>
          <w:color w:val="000000"/>
          <w:spacing w:val="0"/>
          <w:w w:val="100"/>
          <w:position w:val="0"/>
          <w:shd w:val="clear" w:color="auto" w:fill="auto"/>
          <w:lang w:val="ru-RU" w:eastAsia="ru-RU" w:bidi="ru-RU"/>
        </w:rPr>
        <w:t>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pPr>
        <w:pStyle w:val="Style2"/>
        <w:keepNext w:val="0"/>
        <w:keepLines w:val="0"/>
        <w:widowControl w:val="0"/>
        <w:numPr>
          <w:ilvl w:val="0"/>
          <w:numId w:val="15"/>
        </w:numPr>
        <w:shd w:val="clear" w:color="auto" w:fill="auto"/>
        <w:tabs>
          <w:tab w:pos="363" w:val="left"/>
        </w:tabs>
        <w:bidi w:val="0"/>
        <w:spacing w:before="0" w:after="0"/>
        <w:ind w:left="0" w:right="0" w:firstLine="0"/>
        <w:jc w:val="both"/>
      </w:pPr>
      <w:r>
        <w:rPr>
          <w:color w:val="000000"/>
          <w:spacing w:val="0"/>
          <w:w w:val="100"/>
          <w:position w:val="0"/>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 случае наличия опыта, предусмотренного пунктом 2 настоящей позиции:</w:t>
      </w:r>
    </w:p>
    <w:p>
      <w:pPr>
        <w:pStyle w:val="Style2"/>
        <w:keepNext w:val="0"/>
        <w:keepLines w:val="0"/>
        <w:widowControl w:val="0"/>
        <w:numPr>
          <w:ilvl w:val="0"/>
          <w:numId w:val="17"/>
        </w:numPr>
        <w:shd w:val="clear" w:color="auto" w:fill="auto"/>
        <w:tabs>
          <w:tab w:pos="313" w:val="left"/>
        </w:tabs>
        <w:bidi w:val="0"/>
        <w:spacing w:before="0" w:after="0"/>
        <w:ind w:left="0" w:right="0" w:firstLine="0"/>
        <w:jc w:val="both"/>
      </w:pPr>
      <w:r>
        <w:rPr>
          <w:color w:val="000000"/>
          <w:spacing w:val="0"/>
          <w:w w:val="100"/>
          <w:position w:val="0"/>
          <w:shd w:val="clear" w:color="auto" w:fill="auto"/>
          <w:lang w:val="ru-RU" w:eastAsia="ru-RU" w:bidi="ru-RU"/>
        </w:rPr>
        <w:t>исполненный договор;</w:t>
      </w:r>
    </w:p>
    <w:p>
      <w:pPr>
        <w:pStyle w:val="Style2"/>
        <w:keepNext w:val="0"/>
        <w:keepLines w:val="0"/>
        <w:widowControl w:val="0"/>
        <w:numPr>
          <w:ilvl w:val="0"/>
          <w:numId w:val="17"/>
        </w:numPr>
        <w:shd w:val="clear" w:color="auto" w:fill="auto"/>
        <w:tabs>
          <w:tab w:pos="352" w:val="left"/>
        </w:tabs>
        <w:bidi w:val="0"/>
        <w:spacing w:before="0" w:after="0"/>
        <w:ind w:left="0" w:right="0" w:firstLine="0"/>
        <w:jc w:val="both"/>
      </w:pPr>
      <w:r>
        <w:rPr>
          <w:color w:val="000000"/>
          <w:spacing w:val="0"/>
          <w:w w:val="100"/>
          <w:position w:val="0"/>
          <w:shd w:val="clear" w:color="auto" w:fill="auto"/>
          <w:lang w:val="ru-RU" w:eastAsia="ru-RU" w:bidi="ru-RU"/>
        </w:rPr>
        <w:t>акт выполненных работ, подтверждающий цену выполненных работ.</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 случае наличия опыта, предусмотренного пунктом 3 графы настоящей позиции: 1) раздел 11 "Смета на строительство объектов капитального строительства" проектной документации;</w:t>
      </w:r>
    </w:p>
    <w:p>
      <w:pPr>
        <w:pStyle w:val="Style2"/>
        <w:keepNext w:val="0"/>
        <w:keepLines w:val="0"/>
        <w:widowControl w:val="0"/>
        <w:numPr>
          <w:ilvl w:val="0"/>
          <w:numId w:val="17"/>
        </w:numPr>
        <w:shd w:val="clear" w:color="auto" w:fill="auto"/>
        <w:tabs>
          <w:tab w:pos="334" w:val="left"/>
        </w:tabs>
        <w:bidi w:val="0"/>
        <w:spacing w:before="0" w:after="0"/>
        <w:ind w:left="0" w:right="0" w:firstLine="0"/>
        <w:jc w:val="both"/>
      </w:pPr>
      <w:r>
        <w:rPr>
          <w:color w:val="000000"/>
          <w:spacing w:val="0"/>
          <w:w w:val="100"/>
          <w:position w:val="0"/>
          <w:shd w:val="clear" w:color="auto" w:fill="auto"/>
          <w:lang w:val="ru-RU" w:eastAsia="ru-RU" w:bidi="ru-RU"/>
        </w:rPr>
        <w:t>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ходе рассмотрения жалобы установлено, что заявитель представил документы, подтверждающие опыт работ в соответствии с требованиями, предъявляемыми к содержанию, составу заявки на участие в закупке.</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этой связи комиссия Заказчика, делая вывод о том, что предмет договора, и предмет Акта, представленные в качестве подтверждения опыта работ не соответствуют требованиям ПП РФ от 29.12.2021 № 2571, нарушила п. 12 ч. 1 ст. 42 Федерального закона от 05.04.2013 № 44-ФЗ, в части предъявления необоснованных требований к предмету договора и предмету акта.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силу п.12 ч.1 ст. 42 Федерального закона от 05.04.2013 № 44-ФЗ содержание раздела </w:t>
      </w:r>
      <w:r>
        <w:rPr>
          <w:b/>
          <w:bCs/>
          <w:color w:val="000000"/>
          <w:spacing w:val="0"/>
          <w:w w:val="100"/>
          <w:position w:val="0"/>
          <w:shd w:val="clear" w:color="auto" w:fill="auto"/>
          <w:lang w:val="ru-RU" w:eastAsia="ru-RU" w:bidi="ru-RU"/>
        </w:rPr>
        <w:t xml:space="preserve">«Информация и документы, подтверждающие соответствие участников закупки дополнительным требованиям» </w:t>
      </w:r>
      <w:r>
        <w:rPr>
          <w:color w:val="000000"/>
          <w:spacing w:val="0"/>
          <w:w w:val="100"/>
          <w:position w:val="0"/>
          <w:shd w:val="clear" w:color="auto" w:fill="auto"/>
          <w:lang w:val="ru-RU" w:eastAsia="ru-RU" w:bidi="ru-RU"/>
        </w:rPr>
        <w:t>является исчерпывающим и расширенному толкованию не подлежит.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ходе рассмотрения жалобы, члены комиссии Заказчика не смогли указать какому пункту Извещения, а также какому пункту требований к содержанию, составу заявки (Приложение №4) не соответствует заявка ООО «Альфаснаб».</w:t>
      </w:r>
    </w:p>
    <w:p>
      <w:pPr>
        <w:pStyle w:val="Style2"/>
        <w:keepNext w:val="0"/>
        <w:keepLines w:val="0"/>
        <w:widowControl w:val="0"/>
        <w:shd w:val="clear" w:color="auto" w:fill="auto"/>
        <w:bidi w:val="0"/>
        <w:spacing w:before="0" w:after="200"/>
        <w:ind w:left="0" w:right="0" w:firstLine="700"/>
        <w:jc w:val="both"/>
      </w:pPr>
      <w:r>
        <w:rPr>
          <w:color w:val="000000"/>
          <w:spacing w:val="0"/>
          <w:w w:val="100"/>
          <w:position w:val="0"/>
          <w:shd w:val="clear" w:color="auto" w:fill="auto"/>
          <w:lang w:val="ru-RU" w:eastAsia="ru-RU" w:bidi="ru-RU"/>
        </w:rPr>
        <w:t>В ходе рассмотрения жалобы члены комиссии Заказчика не смогли пояснить каким подпунктам (частям) пункта 17 раздела III Постановления Правительства РФ от 29.12.2021 № 2571 «Дополнительные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 не соответствует заявка ООО «Альфаснаб».</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Комиссии при рассмотрении жалобы установила, что документы, поданные в составе заявки ООО «Альфаснаб» для подтверждения опыта, в полном мере соответствуют подпунктам 1,2 пункта 17 раздела III Постановления Правительства РФ от 29.12.2021 № 2571, которыми определено, что для подтверждения опыта исполнения договора строительного подряда, предусматривающего выполнение </w:t>
      </w:r>
      <w:r>
        <w:rPr>
          <w:color w:val="000000"/>
          <w:spacing w:val="0"/>
          <w:w w:val="100"/>
          <w:position w:val="0"/>
          <w:shd w:val="clear" w:color="auto" w:fill="auto"/>
          <w:lang w:val="ru-RU" w:eastAsia="ru-RU" w:bidi="ru-RU"/>
        </w:rPr>
        <w:t>работ по строительству, реконструкции автомобильной дороги предъявляется: 1) исполненный договор; 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статье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частью 4 статьи 16 Федерального закона от 08.11.2007 №257-ФЗ «Об автомобильных дорогах и дорожной деятельности...» во взаимосвязи с пунктом 3 раздела II Классификации работ по капитальному ремонту, ремонту и содержанию автомобильных дорог, утвержденной в согласно Приказу Минтранса России от 16.11.2012 № 402,</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3. При капитальном ремонте проводятся следующие работы:</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u w:val="single"/>
          <w:shd w:val="clear" w:color="auto" w:fill="auto"/>
          <w:lang w:val="ru-RU" w:eastAsia="ru-RU" w:bidi="ru-RU"/>
        </w:rPr>
        <w:t>по земляному полотну и системе водоотвода</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 xml:space="preserve">(позиции 1-9, 18-28 Приложения №1 к договору от 18.04.2021): </w:t>
      </w:r>
      <w:r>
        <w:rPr>
          <w:color w:val="000000"/>
          <w:spacing w:val="0"/>
          <w:w w:val="100"/>
          <w:position w:val="0"/>
          <w:shd w:val="clear" w:color="auto" w:fill="auto"/>
          <w:lang w:val="ru-RU" w:eastAsia="ru-RU" w:bidi="ru-RU"/>
        </w:rPr>
        <w:t>устранение деформаций и повреждений элементов земляного полотна (в том числе на пересечениях и примыканиях, площадках для остановки, стоянках транспортных средств, площадках для отдыха, разворотных площадках, тротуарах, пешеходных и велосипедных дорожках, переездах, съездах, подъездных дорогах к объектам дорожно-ремонтной службы, историческим и достопримечательным объектам, паромным переправам и другим объектам); замена изношенных звеньев прикромочных и телескопических лотков, дренажей, водоотводных канав, быстротоков, водобойных колодцев, перепадов, элементов подводящих и отводящих русел у водопропускных труб, элементов ливневой канализации и других изношенных элементов системы водоотвода (в том числе на пересечениях и примыканиях, площадках для остановки, стоянках транспортных средств, площадках для отдыха, разворотных площадках, тротуарах, пешеходных и велосипедных дорожках, отдельных переездах, съездах, подъездных дорогах к объектам дорожно-ремонтной службы, историческим и достопримечательным местам, паромным переправам и другим объектам);</w:t>
      </w:r>
    </w:p>
    <w:p>
      <w:pPr>
        <w:pStyle w:val="Style2"/>
        <w:keepNext w:val="0"/>
        <w:keepLines w:val="0"/>
        <w:widowControl w:val="0"/>
        <w:shd w:val="clear" w:color="auto" w:fill="auto"/>
        <w:bidi w:val="0"/>
        <w:spacing w:before="0" w:after="0"/>
        <w:ind w:left="0" w:right="0" w:firstLine="480"/>
        <w:jc w:val="both"/>
      </w:pPr>
      <w:r>
        <w:rPr>
          <w:color w:val="000000"/>
          <w:spacing w:val="0"/>
          <w:w w:val="100"/>
          <w:position w:val="0"/>
          <w:u w:val="single"/>
          <w:shd w:val="clear" w:color="auto" w:fill="auto"/>
          <w:lang w:val="ru-RU" w:eastAsia="ru-RU" w:bidi="ru-RU"/>
        </w:rPr>
        <w:t>по искусственным и защитным дорожным сооружениям</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 xml:space="preserve">(позиции 10-17, 30- 31 Приложения №1 к договору 3 от 18.04.2021): </w:t>
      </w:r>
      <w:r>
        <w:rPr>
          <w:color w:val="000000"/>
          <w:spacing w:val="0"/>
          <w:w w:val="100"/>
          <w:position w:val="0"/>
          <w:shd w:val="clear" w:color="auto" w:fill="auto"/>
          <w:lang w:val="ru-RU" w:eastAsia="ru-RU" w:bidi="ru-RU"/>
        </w:rPr>
        <w:t xml:space="preserve">замена балок (более 25%) в пролетных строениях; восстановление или замена подпорных стен, противолавинных галерей, навесов, устройство укрепительных и регуляционных сооружений, сооружений для защиты от наледей, оползней и др.; восстановление берегозащитных и противоэрозионных сооружений; восстановление тоннелей, включая замену части (до 50%) обделки; замена пролетных строений, в том числе </w:t>
      </w:r>
      <w:r>
        <w:rPr>
          <w:color w:val="000000"/>
          <w:spacing w:val="0"/>
          <w:w w:val="100"/>
          <w:position w:val="0"/>
          <w:shd w:val="clear" w:color="auto" w:fill="auto"/>
          <w:lang w:val="ru-RU" w:eastAsia="ru-RU" w:bidi="ru-RU"/>
        </w:rPr>
        <w:t>с изменением продольной схемы (с возможным изменением длины моста до 15%) с временным отводом земельных участков (без дополнительного землеотвода), и отдельных элементов несущих конструкций на аналогичные или иные улучшающие показатели таких конструкций элементы и (или) восстановление указанных элементов, а также замена пролетных строений малых мостов на водопропускные трубы с возможным временным отводом земельных участков, необходимых для указанных целей, с последующей их рекультивацией; устройство, удлинение водопропускных труб, а также замена их звеньев и оголовков с возможным временным отводом земельных участков (без дополнительного землеотвода), необходимых для указанных целей, с последующей их рекультивацией; замена опор, в том числе с изменением существующей продольной схемы моста (с возможным изменением длины моста до 15%) с временным отводом земельных участков (без дополнительного землеотвода), необходимых для указанных целей, с последующей их рекультивацией; замена ограждений, перил и тротуаров.</w:t>
      </w:r>
    </w:p>
    <w:p>
      <w:pPr>
        <w:pStyle w:val="Style2"/>
        <w:keepNext w:val="0"/>
        <w:keepLines w:val="0"/>
        <w:widowControl w:val="0"/>
        <w:shd w:val="clear" w:color="auto" w:fill="auto"/>
        <w:bidi w:val="0"/>
        <w:spacing w:before="0" w:after="300" w:line="259" w:lineRule="auto"/>
        <w:ind w:left="0" w:right="0" w:firstLine="1420"/>
        <w:jc w:val="both"/>
      </w:pPr>
      <w:r>
        <w:rPr>
          <w:color w:val="000000"/>
          <w:spacing w:val="0"/>
          <w:w w:val="100"/>
          <w:position w:val="0"/>
          <w:shd w:val="clear" w:color="auto" w:fill="auto"/>
          <w:lang w:val="ru-RU" w:eastAsia="ru-RU" w:bidi="ru-RU"/>
        </w:rPr>
        <w:t>В ходе рассмотрения жалобы Комиссия также отметила, что в соответствии с Постановлением Правительства Российской Федерации от 12.11.2020 №1816 «Об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 (далее - Постановление № 1816) утвержден перечень случаев, при которых для строительства, реконструкции объекта капитального строительства не требуется получение разрешения на строительство. В данный перечень входит строительство, реконструкция автомобильных дорог IV и V категории. В связи с тем, что в соответствии с Постановлением № 1816 разрешение на строительство объекта - дорога 4 категории, не требуется, следовательно, разрешение на ввод в эксплуатацию так же не требуется.</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прямого толкование положений договора №3 от 18.04.2021 с учетом приложения №1, являющегося его неотъемлемой частью, а также содержания состава выполненных работ по договору, Комиссия приходит к выводу, что выполненные работы относятся к строительным, а именно, к капитальному ремонту автомобильных дорог.</w:t>
      </w:r>
    </w:p>
    <w:p>
      <w:pPr>
        <w:pStyle w:val="Style2"/>
        <w:keepNext w:val="0"/>
        <w:keepLines w:val="0"/>
        <w:widowControl w:val="0"/>
        <w:shd w:val="clear" w:color="auto" w:fill="auto"/>
        <w:bidi w:val="0"/>
        <w:spacing w:before="0" w:after="280"/>
        <w:ind w:left="0" w:right="0" w:firstLine="700"/>
        <w:jc w:val="both"/>
      </w:pPr>
      <w:r>
        <w:rPr>
          <w:color w:val="000000"/>
          <w:spacing w:val="0"/>
          <w:w w:val="100"/>
          <w:position w:val="0"/>
          <w:shd w:val="clear" w:color="auto" w:fill="auto"/>
          <w:lang w:val="ru-RU" w:eastAsia="ru-RU" w:bidi="ru-RU"/>
        </w:rPr>
        <w:t>Соответственно информация, представленная ООО «Альфаснаб» в документах, подтверждающих соответствие участника закупки требованиям, установленным в извещении об осуществлении закупки в соответствии с частью 2 статьи 31 Закона о контрактной системе, позволяет однозначно прийти к выводу о наличии у заявителя надлежащего опыта исполнения договора,</w:t>
        <w:br w:type="page"/>
      </w:r>
      <w:r>
        <w:rPr>
          <w:color w:val="000000"/>
          <w:spacing w:val="0"/>
          <w:w w:val="100"/>
          <w:position w:val="0"/>
          <w:shd w:val="clear" w:color="auto" w:fill="auto"/>
          <w:lang w:val="ru-RU" w:eastAsia="ru-RU" w:bidi="ru-RU"/>
        </w:rPr>
        <w:t>предусматривающего выполнение работ являющихся предметом закупки на выполнение работ по реконструкции мостового перехода через р. Железная - 2 на 12 км автомобильной дороги "Садовое кольцо" в Елизовском районе Камчатского края (закупка № 0338200008723000003, извещение от 12.04.2023).</w:t>
      </w:r>
    </w:p>
    <w:p>
      <w:pPr>
        <w:pStyle w:val="Style2"/>
        <w:keepNext w:val="0"/>
        <w:keepLines w:val="0"/>
        <w:widowControl w:val="0"/>
        <w:shd w:val="clear" w:color="auto" w:fill="auto"/>
        <w:bidi w:val="0"/>
        <w:spacing w:before="0" w:after="340" w:line="288"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пунктом 2 части 22 статьи 99, частью 8 статьи 106 Закона о контрактной системе, Комиссия</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numPr>
          <w:ilvl w:val="0"/>
          <w:numId w:val="19"/>
        </w:numPr>
        <w:shd w:val="clear" w:color="auto" w:fill="auto"/>
        <w:tabs>
          <w:tab w:pos="1044" w:val="left"/>
        </w:tabs>
        <w:bidi w:val="0"/>
        <w:spacing w:before="0" w:after="0" w:line="259" w:lineRule="auto"/>
        <w:ind w:left="0" w:right="0" w:firstLine="700"/>
        <w:jc w:val="both"/>
      </w:pPr>
      <w:r>
        <w:rPr>
          <w:color w:val="000000"/>
          <w:spacing w:val="0"/>
          <w:w w:val="100"/>
          <w:position w:val="0"/>
          <w:shd w:val="clear" w:color="auto" w:fill="auto"/>
          <w:lang w:val="ru-RU" w:eastAsia="ru-RU" w:bidi="ru-RU"/>
        </w:rPr>
        <w:t>Признать жалобу ООО «Альфаснаб» обоснованной.</w:t>
      </w:r>
    </w:p>
    <w:p>
      <w:pPr>
        <w:pStyle w:val="Style2"/>
        <w:keepNext w:val="0"/>
        <w:keepLines w:val="0"/>
        <w:widowControl w:val="0"/>
        <w:numPr>
          <w:ilvl w:val="0"/>
          <w:numId w:val="19"/>
        </w:numPr>
        <w:shd w:val="clear" w:color="auto" w:fill="auto"/>
        <w:tabs>
          <w:tab w:pos="1082" w:val="left"/>
        </w:tabs>
        <w:bidi w:val="0"/>
        <w:spacing w:before="0" w:after="0" w:line="259" w:lineRule="auto"/>
        <w:ind w:left="0" w:right="0" w:firstLine="72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нарушение подпункта «а» пункта 1 части 5 статьи 49 Закона о контрактной системе.</w:t>
      </w:r>
    </w:p>
    <w:p>
      <w:pPr>
        <w:pStyle w:val="Style2"/>
        <w:keepNext w:val="0"/>
        <w:keepLines w:val="0"/>
        <w:widowControl w:val="0"/>
        <w:numPr>
          <w:ilvl w:val="0"/>
          <w:numId w:val="19"/>
        </w:numPr>
        <w:shd w:val="clear" w:color="auto" w:fill="auto"/>
        <w:tabs>
          <w:tab w:pos="1075" w:val="left"/>
        </w:tabs>
        <w:bidi w:val="0"/>
        <w:spacing w:before="0" w:after="280" w:line="259" w:lineRule="auto"/>
        <w:ind w:left="0" w:right="0" w:firstLine="720"/>
        <w:jc w:val="both"/>
      </w:pPr>
      <w:r>
        <w:rPr>
          <w:color w:val="000000"/>
          <w:spacing w:val="0"/>
          <w:w w:val="100"/>
          <w:position w:val="0"/>
          <w:shd w:val="clear" w:color="auto" w:fill="auto"/>
          <w:lang w:val="ru-RU" w:eastAsia="ru-RU" w:bidi="ru-RU"/>
        </w:rPr>
        <w:t>Выдать Комиссии заказчика предписание об устранении допущенных нарушений Закона о контрактной системе.</w:t>
      </w:r>
    </w:p>
    <w:p>
      <w:pPr>
        <w:pStyle w:val="Style2"/>
        <w:keepNext w:val="0"/>
        <w:keepLines w:val="0"/>
        <w:widowControl w:val="0"/>
        <w:shd w:val="clear" w:color="auto" w:fill="auto"/>
        <w:bidi w:val="0"/>
        <w:spacing w:before="0" w:after="66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Руководитель Комиссии:</w:t>
      </w:r>
    </w:p>
    <w:p>
      <w:pPr>
        <w:pStyle w:val="Style2"/>
        <w:keepNext w:val="0"/>
        <w:keepLines w:val="0"/>
        <w:widowControl w:val="0"/>
        <w:shd w:val="clear" w:color="auto" w:fill="auto"/>
        <w:bidi w:val="0"/>
        <w:spacing w:before="0" w:after="280" w:line="240" w:lineRule="auto"/>
        <w:ind w:left="0" w:right="0" w:firstLine="0"/>
        <w:jc w:val="both"/>
      </w:pPr>
      <w:r>
        <w:drawing>
          <wp:anchor distT="0" distB="0" distL="114300" distR="1195705" simplePos="0" relativeHeight="125829384" behindDoc="0" locked="0" layoutInCell="1" allowOverlap="1">
            <wp:simplePos x="0" y="0"/>
            <wp:positionH relativeFrom="page">
              <wp:posOffset>4559300</wp:posOffset>
            </wp:positionH>
            <wp:positionV relativeFrom="margin">
              <wp:posOffset>3799205</wp:posOffset>
            </wp:positionV>
            <wp:extent cx="1487170" cy="2395855"/>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487170" cy="239585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5942330</wp:posOffset>
                </wp:positionH>
                <wp:positionV relativeFrom="margin">
                  <wp:posOffset>4069080</wp:posOffset>
                </wp:positionV>
                <wp:extent cx="1083310" cy="208280"/>
                <wp:wrapNone/>
                <wp:docPr id="13" name="Shape 13"/>
                <a:graphic xmlns:a="http://schemas.openxmlformats.org/drawingml/2006/main">
                  <a:graphicData uri="http://schemas.microsoft.com/office/word/2010/wordprocessingShape">
                    <wps:wsp>
                      <wps:cNvSpPr txBox="1"/>
                      <wps:spPr>
                        <a:xfrm>
                          <a:ext cx="1083310" cy="2082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 Бутылин</w:t>
                            </w:r>
                          </w:p>
                        </w:txbxContent>
                      </wps:txbx>
                      <wps:bodyPr lIns="0" tIns="0" rIns="0" bIns="0">
                        <a:noAutoFit/>
                      </wps:bodyPr>
                    </wps:wsp>
                  </a:graphicData>
                </a:graphic>
              </wp:anchor>
            </w:drawing>
          </mc:Choice>
          <mc:Fallback>
            <w:pict>
              <v:shape id="_x0000_s1039" type="#_x0000_t202" style="position:absolute;margin-left:467.90000000000003pt;margin-top:320.40000000000003pt;width:85.299999999999997pt;height:16.399999999999999pt;z-index:251657729;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 Бутылин</w:t>
                      </w:r>
                    </w:p>
                  </w:txbxContent>
                </v:textbox>
                <w10:wrap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5903595</wp:posOffset>
                </wp:positionH>
                <wp:positionV relativeFrom="margin">
                  <wp:posOffset>4478020</wp:posOffset>
                </wp:positionV>
                <wp:extent cx="1186180" cy="203200"/>
                <wp:wrapNone/>
                <wp:docPr id="15" name="Shape 15"/>
                <a:graphic xmlns:a="http://schemas.openxmlformats.org/drawingml/2006/main">
                  <a:graphicData uri="http://schemas.microsoft.com/office/word/2010/wordprocessingShape">
                    <wps:wsp>
                      <wps:cNvSpPr txBox="1"/>
                      <wps:spPr>
                        <a:xfrm>
                          <a:ext cx="1186180" cy="2032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Л.В. Алексеева</w:t>
                            </w:r>
                          </w:p>
                        </w:txbxContent>
                      </wps:txbx>
                      <wps:bodyPr lIns="0" tIns="0" rIns="0" bIns="0">
                        <a:noAutoFit/>
                      </wps:bodyPr>
                    </wps:wsp>
                  </a:graphicData>
                </a:graphic>
              </wp:anchor>
            </w:drawing>
          </mc:Choice>
          <mc:Fallback>
            <w:pict>
              <v:shape id="_x0000_s1041" type="#_x0000_t202" style="position:absolute;margin-left:464.85000000000002pt;margin-top:352.60000000000002pt;width:93.400000000000006pt;height:16.pt;z-index:251657731;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Л.В. Алексеева</w:t>
                      </w:r>
                    </w:p>
                  </w:txbxContent>
                </v:textbox>
                <w10:wrap anchorx="page" anchory="margin"/>
              </v:shape>
            </w:pict>
          </mc:Fallback>
        </mc:AlternateContent>
      </w:r>
      <w:r>
        <mc:AlternateContent>
          <mc:Choice Requires="wps">
            <w:drawing>
              <wp:anchor distT="0" distB="0" distL="0" distR="0" simplePos="0" relativeHeight="503316486" behindDoc="0" locked="0" layoutInCell="1" allowOverlap="1">
                <wp:simplePos x="0" y="0"/>
                <wp:positionH relativeFrom="page">
                  <wp:posOffset>5899150</wp:posOffset>
                </wp:positionH>
                <wp:positionV relativeFrom="margin">
                  <wp:posOffset>4882515</wp:posOffset>
                </wp:positionV>
                <wp:extent cx="1024255" cy="210185"/>
                <wp:wrapNone/>
                <wp:docPr id="17" name="Shape 17"/>
                <a:graphic xmlns:a="http://schemas.openxmlformats.org/drawingml/2006/main">
                  <a:graphicData uri="http://schemas.microsoft.com/office/word/2010/wordprocessingShape">
                    <wps:wsp>
                      <wps:cNvSpPr txBox="1"/>
                      <wps:spPr>
                        <a:xfrm>
                          <a:ext cx="1024255" cy="21018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С.А. Баркова</w:t>
                            </w:r>
                          </w:p>
                        </w:txbxContent>
                      </wps:txbx>
                      <wps:bodyPr lIns="0" tIns="0" rIns="0" bIns="0">
                        <a:noAutoFit/>
                      </wps:bodyPr>
                    </wps:wsp>
                  </a:graphicData>
                </a:graphic>
              </wp:anchor>
            </w:drawing>
          </mc:Choice>
          <mc:Fallback>
            <w:pict>
              <v:shape id="_x0000_s1043" type="#_x0000_t202" style="position:absolute;margin-left:464.5pt;margin-top:384.44999999999999pt;width:80.650000000000006pt;height:16.550000000000001pt;z-index:251657733;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С.А. Баркова</w:t>
                      </w:r>
                    </w:p>
                  </w:txbxContent>
                </v:textbox>
                <w10:wrap anchorx="page" anchory="margin"/>
              </v:shape>
            </w:pict>
          </mc:Fallback>
        </mc:AlternateContent>
      </w:r>
      <w:r>
        <mc:AlternateContent>
          <mc:Choice Requires="wps">
            <w:drawing>
              <wp:anchor distT="0" distB="0" distL="0" distR="0" simplePos="0" relativeHeight="503316488" behindDoc="0" locked="0" layoutInCell="1" allowOverlap="1">
                <wp:simplePos x="0" y="0"/>
                <wp:positionH relativeFrom="page">
                  <wp:posOffset>5896610</wp:posOffset>
                </wp:positionH>
                <wp:positionV relativeFrom="margin">
                  <wp:posOffset>5292090</wp:posOffset>
                </wp:positionV>
                <wp:extent cx="1113155" cy="203200"/>
                <wp:wrapNone/>
                <wp:docPr id="19" name="Shape 19"/>
                <a:graphic xmlns:a="http://schemas.openxmlformats.org/drawingml/2006/main">
                  <a:graphicData uri="http://schemas.microsoft.com/office/word/2010/wordprocessingShape">
                    <wps:wsp>
                      <wps:cNvSpPr txBox="1"/>
                      <wps:spPr>
                        <a:xfrm>
                          <a:ext cx="1113155" cy="2032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Светлова</w:t>
                            </w:r>
                          </w:p>
                        </w:txbxContent>
                      </wps:txbx>
                      <wps:bodyPr lIns="0" tIns="0" rIns="0" bIns="0">
                        <a:noAutoFit/>
                      </wps:bodyPr>
                    </wps:wsp>
                  </a:graphicData>
                </a:graphic>
              </wp:anchor>
            </w:drawing>
          </mc:Choice>
          <mc:Fallback>
            <w:pict>
              <v:shape id="_x0000_s1045" type="#_x0000_t202" style="position:absolute;margin-left:464.30000000000001pt;margin-top:416.69999999999999pt;width:87.650000000000006pt;height:16.pt;z-index:251657735;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Светлова</w:t>
                      </w:r>
                    </w:p>
                  </w:txbxContent>
                </v:textbox>
                <w10:wrap anchorx="page" anchory="margin"/>
              </v:shape>
            </w:pict>
          </mc:Fallback>
        </mc:AlternateContent>
      </w:r>
      <w:r>
        <mc:AlternateContent>
          <mc:Choice Requires="wps">
            <w:drawing>
              <wp:anchor distT="0" distB="0" distL="0" distR="0" simplePos="0" relativeHeight="503316490" behindDoc="0" locked="0" layoutInCell="1" allowOverlap="1">
                <wp:simplePos x="0" y="0"/>
                <wp:positionH relativeFrom="page">
                  <wp:posOffset>6031230</wp:posOffset>
                </wp:positionH>
                <wp:positionV relativeFrom="margin">
                  <wp:posOffset>5703570</wp:posOffset>
                </wp:positionV>
                <wp:extent cx="1094740" cy="210185"/>
                <wp:wrapNone/>
                <wp:docPr id="21" name="Shape 21"/>
                <a:graphic xmlns:a="http://schemas.openxmlformats.org/drawingml/2006/main">
                  <a:graphicData uri="http://schemas.microsoft.com/office/word/2010/wordprocessingShape">
                    <wps:wsp>
                      <wps:cNvSpPr txBox="1"/>
                      <wps:spPr>
                        <a:xfrm>
                          <a:ext cx="1094740" cy="21018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Передерий</w:t>
                            </w:r>
                          </w:p>
                        </w:txbxContent>
                      </wps:txbx>
                      <wps:bodyPr lIns="0" tIns="0" rIns="0" bIns="0">
                        <a:noAutoFit/>
                      </wps:bodyPr>
                    </wps:wsp>
                  </a:graphicData>
                </a:graphic>
              </wp:anchor>
            </w:drawing>
          </mc:Choice>
          <mc:Fallback>
            <w:pict>
              <v:shape id="_x0000_s1047" type="#_x0000_t202" style="position:absolute;margin-left:474.90000000000003pt;margin-top:449.10000000000002pt;width:86.200000000000003pt;height:16.550000000000001pt;z-index:251657737;mso-wrap-distance-left:0;mso-wrap-distance-right:0;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Передерий</w:t>
                      </w:r>
                    </w:p>
                  </w:txbxContent>
                </v:textbox>
                <w10:wrap anchorx="page" anchory="margin"/>
              </v:shape>
            </w:pict>
          </mc:Fallback>
        </mc:AlternateContent>
      </w: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117" w:right="663" w:bottom="772" w:left="1222"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3899535</wp:posOffset>
              </wp:positionH>
              <wp:positionV relativeFrom="page">
                <wp:posOffset>393700</wp:posOffset>
              </wp:positionV>
              <wp:extent cx="114300" cy="98425"/>
              <wp:wrapNone/>
              <wp:docPr id="3" name="Shape 3"/>
              <a:graphic xmlns:a="http://schemas.openxmlformats.org/drawingml/2006/main">
                <a:graphicData uri="http://schemas.microsoft.com/office/word/2010/wordprocessingShape">
                  <wps:wsp>
                    <wps:cNvSpPr txBox="1"/>
                    <wps:spPr>
                      <a:xfrm>
                        <a:ext cx="114300" cy="98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05000000000001pt;margin-top:31.pt;width:9.pt;height:7.75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Другое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Основной текст"/>
    <w:basedOn w:val="Normal"/>
    <w:link w:val="CharStyle3"/>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4">
    <w:name w:val="Основной текст (2)"/>
    <w:basedOn w:val="Normal"/>
    <w:link w:val="CharStyle5"/>
    <w:pPr>
      <w:widowControl w:val="0"/>
      <w:shd w:val="clear" w:color="auto" w:fill="auto"/>
      <w:spacing w:after="320" w:line="247" w:lineRule="auto"/>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Другое"/>
    <w:basedOn w:val="Normal"/>
    <w:link w:val="CharStyle16"/>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