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723265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300" w:line="240" w:lineRule="auto"/>
        <w:ind w:left="0" w:right="0" w:firstLine="700"/>
        <w:jc w:val="left"/>
        <w:rPr>
          <w:sz w:val="26"/>
          <w:szCs w:val="26"/>
        </w:rPr>
      </w:pPr>
      <w:r>
        <w:rPr>
          <w:color w:val="000000"/>
          <w:spacing w:val="0"/>
          <w:w w:val="100"/>
          <w:position w:val="0"/>
          <w:sz w:val="26"/>
          <w:szCs w:val="26"/>
          <w:shd w:val="clear" w:color="auto" w:fill="auto"/>
          <w:lang w:val="ru-RU" w:eastAsia="ru-RU" w:bidi="ru-RU"/>
        </w:rPr>
        <w:t>ГБУЗ «ГП № 214 ДЗМ»</w:t>
      </w:r>
    </w:p>
    <w:p>
      <w:pPr>
        <w:pStyle w:val="Style6"/>
        <w:keepNext w:val="0"/>
        <w:keepLines w:val="0"/>
        <w:widowControl w:val="0"/>
        <w:shd w:val="clear" w:color="auto" w:fill="auto"/>
        <w:bidi w:val="0"/>
        <w:spacing w:before="0" w:after="300" w:line="240" w:lineRule="auto"/>
        <w:ind w:left="0" w:right="0" w:firstLine="700"/>
        <w:jc w:val="left"/>
        <w:rPr>
          <w:sz w:val="26"/>
          <w:szCs w:val="26"/>
        </w:rPr>
      </w:pPr>
      <w:r>
        <w:rPr>
          <w:color w:val="000000"/>
          <w:spacing w:val="0"/>
          <w:w w:val="100"/>
          <w:position w:val="0"/>
          <w:sz w:val="26"/>
          <w:szCs w:val="26"/>
          <w:shd w:val="clear" w:color="auto" w:fill="auto"/>
          <w:lang w:val="ru-RU" w:eastAsia="ru-RU" w:bidi="ru-RU"/>
        </w:rPr>
        <w:t>др214@2±ау.то8.ги</w:t>
      </w:r>
    </w:p>
    <w:p>
      <w:pPr>
        <w:pStyle w:val="Style6"/>
        <w:keepNext w:val="0"/>
        <w:keepLines w:val="0"/>
        <w:widowControl w:val="0"/>
        <w:shd w:val="clear" w:color="auto" w:fill="auto"/>
        <w:bidi w:val="0"/>
        <w:spacing w:before="0" w:after="300" w:line="240" w:lineRule="auto"/>
        <w:ind w:left="0" w:right="0" w:firstLine="700"/>
        <w:jc w:val="left"/>
        <w:rPr>
          <w:sz w:val="26"/>
          <w:szCs w:val="26"/>
        </w:rPr>
      </w:pPr>
      <w:r>
        <w:rPr>
          <w:color w:val="000000"/>
          <w:spacing w:val="0"/>
          <w:w w:val="100"/>
          <w:position w:val="0"/>
          <w:sz w:val="26"/>
          <w:szCs w:val="26"/>
          <w:shd w:val="clear" w:color="auto" w:fill="auto"/>
          <w:lang w:val="ru-RU" w:eastAsia="ru-RU" w:bidi="ru-RU"/>
        </w:rPr>
        <w:t>ИП СЕМЕНОВА В.Г.</w:t>
      </w:r>
    </w:p>
    <w:p>
      <w:pPr>
        <w:pStyle w:val="Style6"/>
        <w:keepNext w:val="0"/>
        <w:keepLines w:val="0"/>
        <w:widowControl w:val="0"/>
        <w:shd w:val="clear" w:color="auto" w:fill="auto"/>
        <w:bidi w:val="0"/>
        <w:spacing w:before="0" w:after="2720" w:line="240" w:lineRule="auto"/>
        <w:ind w:left="0" w:right="0" w:firstLine="700"/>
        <w:jc w:val="both"/>
        <w:rPr>
          <w:sz w:val="26"/>
          <w:szCs w:val="26"/>
        </w:rPr>
      </w:pPr>
      <w:r>
        <w:rPr>
          <w:color w:val="000000"/>
          <w:spacing w:val="0"/>
          <w:w w:val="100"/>
          <w:position w:val="0"/>
          <w:sz w:val="26"/>
          <w:szCs w:val="26"/>
          <w:shd w:val="clear" w:color="auto" w:fill="auto"/>
          <w:lang w:val="ru-RU" w:eastAsia="ru-RU" w:bidi="ru-RU"/>
        </w:rPr>
        <w:t>V.д.8етепоVаа@дта^1.сот</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390"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077/06/106-НУ-7/2023 о нарушении</w:t>
        <w:br/>
        <w:t>законодательства о контрактной системе</w:t>
        <w:br/>
        <w:t>04.05.2023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Главного-специалиста 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tabs>
          <w:tab w:pos="7986" w:val="left"/>
        </w:tabs>
        <w:bidi w:val="0"/>
        <w:spacing w:before="0" w:after="0" w:line="226" w:lineRule="auto"/>
        <w:ind w:left="0" w:right="0" w:firstLine="700"/>
        <w:jc w:val="both"/>
      </w:pPr>
      <w:r>
        <w:rPr>
          <w:color w:val="000000"/>
          <w:spacing w:val="0"/>
          <w:w w:val="100"/>
          <w:position w:val="0"/>
          <w:shd w:val="clear" w:color="auto" w:fill="auto"/>
          <w:lang w:val="ru-RU" w:eastAsia="ru-RU" w:bidi="ru-RU"/>
        </w:rPr>
        <w:t>при участии представителей ГБУЗ «ГП №</w:t>
        <w:tab/>
        <w:t>214 ДЗМ»,</w:t>
      </w:r>
    </w:p>
    <w:p>
      <w:pPr>
        <w:pStyle w:val="Style6"/>
        <w:keepNext w:val="0"/>
        <w:keepLines w:val="0"/>
        <w:widowControl w:val="0"/>
        <w:shd w:val="clear" w:color="auto" w:fill="auto"/>
        <w:bidi w:val="0"/>
        <w:spacing w:before="0" w:after="0" w:line="226" w:lineRule="auto"/>
        <w:ind w:left="0" w:right="0" w:firstLine="0"/>
        <w:jc w:val="both"/>
      </w:pPr>
      <w:r>
        <w:rPr>
          <w:color w:val="000000"/>
          <w:spacing w:val="0"/>
          <w:w w:val="100"/>
          <w:position w:val="0"/>
          <w:shd w:val="clear" w:color="auto" w:fill="auto"/>
          <w:lang w:val="ru-RU" w:eastAsia="ru-RU" w:bidi="ru-RU"/>
        </w:rPr>
        <w:t>ИП СЕМЕНОВА В.Г.</w:t>
      </w:r>
    </w:p>
    <w:p>
      <w:pPr>
        <w:pStyle w:val="Style6"/>
        <w:keepNext w:val="0"/>
        <w:keepLines w:val="0"/>
        <w:widowControl w:val="0"/>
        <w:shd w:val="clear" w:color="auto" w:fill="auto"/>
        <w:bidi w:val="0"/>
        <w:spacing w:before="0" w:after="300" w:line="226" w:lineRule="auto"/>
        <w:ind w:left="0" w:right="0" w:firstLine="700"/>
        <w:jc w:val="both"/>
      </w:pPr>
      <w:r>
        <w:rPr>
          <w:color w:val="000000"/>
          <w:spacing w:val="0"/>
          <w:w w:val="100"/>
          <w:position w:val="0"/>
          <w:shd w:val="clear" w:color="auto" w:fill="auto"/>
          <w:lang w:val="ru-RU" w:eastAsia="ru-RU" w:bidi="ru-RU"/>
        </w:rPr>
        <w:t>рассмотрев жалобу ИП СЕМЕНОВА В.Г. (далее — Заявитель) на действия ГБУЗ «ГП № 214 ДЗМ» (далее — Заказчик) при проведении электронного аукциона на право заключения государственного контракта на поставку тест-полосок для анализаторов для ГБУЗ «ГП №214 ДЗМ» (Закупка № 0373200589123000016)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1. Согласно доводам жалобы Заказчиком неправомерно не установлены ограничения допуска отдельных видов медицинских изделий, происходящих из иностранных государств, установленные Постановлением Правительства Российской Федерации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На основании п.15 ч.1 ст.42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 xml:space="preserve">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w:t>
      </w:r>
      <w:r>
        <w:rPr>
          <w:color w:val="000000"/>
          <w:spacing w:val="0"/>
          <w:w w:val="100"/>
          <w:position w:val="0"/>
          <w:shd w:val="clear" w:color="auto" w:fill="auto"/>
          <w:lang w:val="ru-RU" w:eastAsia="ru-RU" w:bidi="ru-RU"/>
        </w:rPr>
        <w:t>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силу п.2 Постановления №102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соответствии с п.2(2) Постановления №102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 1 и не включенные в него, а также закупок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К 2, не могут быть предметом одного контракта (одного лота) медицинские изделия, включенные в перечень К 2 и не включенные в него.</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Комиссией Управления определено, что, согласно извещению о проведении электронного аукциона от 21.04.2023 №0373200589123000016, Заказчиком закупаются товары «Тест-полоски для портативного анализатора Еазу ТоисЬ» по коду ОКПД2 21.20.23.111.</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исходя из положений технической части закупочной документации Заказчиком закупаются «Тест- полоски для определения содержания глюкозы в крови» с кодом вида медицинского изделия 248900, который попадает под действия Постановления №102. Ввиду чего Заказчиком неправомерно не установлены ограничения в соответствии с действием Постановления №102.</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Не согласившись с доводом жалобы представитель Заказчика указал, что согласно примечанию к перечню видов медицинских изделий в соответствии с Постановлением №102 при применении перечня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Вместе с тем, в вышеуказанном перечне предусмотрены следующие товары попадающие под действие Постановления №102: «Тест-полоски для определения содержания глюкозы в крови, соответствующие коду 248900 вида медицинского изделия с номенклатурной классификацией медицинских изделий, утвержденной Министерством здравоохранения Российской Федерации» с кодом ОКПД2 21.20.23.110.</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Таким образом, ввиду того, что закупаемые Заказчиком тест-полоски закупаются с использованием кода ОКПД2 21.20.23.111 ограничения в соответствии с Постановлением №102 не применяются.</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Вместе с тем 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Заявителем не представлено документов и сведений, свидетельствующих о неправомерности использования кода ОКПД2 21.20.23.111.</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необоснованности данного довода жалобы.</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2. Также в составе жалобы Заявитель указывает на неправомерное несоблюдение положений постановления Правительства Российской Федерации от 12.01.2023 №10 «Об особенностях описания тест-полосок для определения содержания глюкозы в крови, являющихся объектом закупки для обеспечения государственных и муниципальных нужд, о типовых условиях контрактов, подлежащих применению заказчиками при осуществлении закупок, на поставку таких тест-полосок и о внесении изменений в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Постановление №10).</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w:t>
      </w:r>
      <w:r>
        <w:rPr>
          <w:color w:val="000000"/>
          <w:spacing w:val="0"/>
          <w:w w:val="100"/>
          <w:position w:val="0"/>
          <w:shd w:val="clear" w:color="auto" w:fill="auto"/>
          <w:lang w:val="ru-RU" w:eastAsia="ru-RU" w:bidi="ru-RU"/>
        </w:rPr>
        <w:t>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документация о закупке в соответствии с требованиями, указанными в части 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соответствии с п.1 Постановления №10 установлены особенности описания тест-полосок для определения содержания глюкозы в крови, являющихся объектом закупки для обеспечения государственных и муниципальных нужд и предназначенных для анализатора уровня сахара крови портативного, соответствующего кодам 300680, 300690, 344110 вида медицинского изделия в соответствии с номенклатурной классификацией медицинских изделий (далее соответственно - тест-полоски, закупки, анализатор).</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Пп. «б» п.1 Постановления №10 оговорено, что в описании объекта закупки указываются возможность безвозмездной передачи заказчику новых анализаторов, совместимых с поставляемыми тест-полосками, в случае если поставщик при подаче заявки на участие в закупке предложил к поставке тест- полоски, соответствующие показателям, указанным в описании объекта закупки в соответствии с частью 2 статьи 33 Закона о контрактной системе, но являющиеся несовместимыми с анализатором, указанным в описании объекта закупки в соответствии с абзацем третьим подпункта 1 Постановления №10.</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Вместе с тем в рассматриваемой Закупочной процедуре Заказчиком не предусмотрена возможность безвозмездной передачи заказчику новых анализаторов в соответствии с пп. «б» п.1 Постановления №10.</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свою очередь представитель Заказчика указал, что в соответствии с регистрационным удостоверением №ФСЗ 2011/10454 закупаемые заказчиком медицинские изделия имеют код НКМИ 135260, при этом вышеуказанное постановление распространяется на медицинские изделия с кодами НКМИ 300680, 300690, 344110 ввиду чего положения постановления №10 не применяются в рамках рассматриваемой процедуры.</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 xml:space="preserve">В свою очередь Комиссией Управления установлено, что регистрационное удостоверение №ФСЗ 2011/10454 выдано на Анализатор крови портативный биохимический ЕазуТоисЪ®, при этом очевидно, что код НКМИ, указанный в регистрационном удостоверении распространяется </w:t>
      </w:r>
      <w:r>
        <w:rPr>
          <w:color w:val="000000"/>
          <w:spacing w:val="0"/>
          <w:w w:val="100"/>
          <w:position w:val="0"/>
          <w:shd w:val="clear" w:color="auto" w:fill="auto"/>
          <w:lang w:val="ru-RU" w:eastAsia="ru-RU" w:bidi="ru-RU"/>
        </w:rPr>
        <w:t>непосредственно на анализаторы, тогда как фактически Заказчиком закупаются тест-полоски для которых в том числе соответствуют коды НКМИ 300680, 300690, 344110.</w:t>
      </w:r>
    </w:p>
    <w:p>
      <w:pPr>
        <w:pStyle w:val="Style6"/>
        <w:keepNext w:val="0"/>
        <w:keepLines w:val="0"/>
        <w:widowControl w:val="0"/>
        <w:shd w:val="clear" w:color="auto" w:fill="auto"/>
        <w:bidi w:val="0"/>
        <w:spacing w:before="0" w:after="0" w:line="226" w:lineRule="auto"/>
        <w:ind w:left="0" w:right="0" w:firstLine="66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п.1 ч.1 ст.33 Закона о контрактной системе, вместе с этим в действиях Заказчика усматриваются признаки состава административного правонарушения, ответственность за которое предусмотрена частью 1.4 статьи 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26" w:lineRule="auto"/>
        <w:ind w:left="0" w:right="0" w:firstLine="660"/>
        <w:jc w:val="both"/>
      </w:pPr>
      <w:r>
        <w:rPr>
          <w:color w:val="000000"/>
          <w:spacing w:val="0"/>
          <w:w w:val="100"/>
          <w:position w:val="0"/>
          <w:shd w:val="clear" w:color="auto" w:fill="auto"/>
          <w:lang w:val="ru-RU" w:eastAsia="ru-RU" w:bidi="ru-RU"/>
        </w:rPr>
        <w:t>Вместе с тем Комиссия Управления отмечает, что в составе технической части закупочной документации предъявлено требование о совместимости закупаемых заказчиком тест полосок с оборудованием, находящимся у Заказчика, ЕазуТоисЪ, при этом в составе заявки победителя предложены к поставке тест-полоски производства ЕазуТоисЪ, что свидетельствует о не применении положений пп. «б» п.1 Постановления №10.</w:t>
      </w:r>
    </w:p>
    <w:p>
      <w:pPr>
        <w:pStyle w:val="Style6"/>
        <w:keepNext w:val="0"/>
        <w:keepLines w:val="0"/>
        <w:widowControl w:val="0"/>
        <w:shd w:val="clear" w:color="auto" w:fill="auto"/>
        <w:bidi w:val="0"/>
        <w:spacing w:before="0" w:after="0" w:line="226" w:lineRule="auto"/>
        <w:ind w:left="0" w:right="0" w:firstLine="660"/>
        <w:jc w:val="both"/>
        <w:sectPr>
          <w:footnotePr>
            <w:pos w:val="pageBottom"/>
            <w:numFmt w:val="decimal"/>
            <w:numRestart w:val="continuous"/>
          </w:footnotePr>
          <w:pgSz w:w="11900" w:h="16840"/>
          <w:pgMar w:top="1084" w:right="1108" w:bottom="926" w:left="1106" w:header="656" w:footer="498" w:gutter="0"/>
          <w:pgNumType w:start="1"/>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1"/>
        </w:numPr>
        <w:shd w:val="clear" w:color="auto" w:fill="auto"/>
        <w:tabs>
          <w:tab w:pos="978" w:val="left"/>
        </w:tabs>
        <w:bidi w:val="0"/>
        <w:spacing w:before="0" w:after="0" w:line="230" w:lineRule="auto"/>
        <w:ind w:left="0" w:right="0" w:firstLine="620"/>
        <w:jc w:val="both"/>
      </w:pPr>
      <w:r>
        <w:rPr>
          <w:color w:val="000000"/>
          <w:spacing w:val="0"/>
          <w:w w:val="100"/>
          <w:position w:val="0"/>
          <w:shd w:val="clear" w:color="auto" w:fill="auto"/>
          <w:lang w:val="ru-RU" w:eastAsia="ru-RU" w:bidi="ru-RU"/>
        </w:rPr>
        <w:t>Признать жалобу ИП СЕМЕНОВА В.Г. на действия ГБУЗ «ГП № 214 ДЗМ» обоснованной в части неправомерного описания объекта закупки.</w:t>
      </w:r>
    </w:p>
    <w:p>
      <w:pPr>
        <w:pStyle w:val="Style6"/>
        <w:keepNext w:val="0"/>
        <w:keepLines w:val="0"/>
        <w:widowControl w:val="0"/>
        <w:numPr>
          <w:ilvl w:val="0"/>
          <w:numId w:val="1"/>
        </w:numPr>
        <w:shd w:val="clear" w:color="auto" w:fill="auto"/>
        <w:tabs>
          <w:tab w:pos="997" w:val="left"/>
        </w:tabs>
        <w:bidi w:val="0"/>
        <w:spacing w:before="0" w:after="0" w:line="230" w:lineRule="auto"/>
        <w:ind w:left="0" w:right="0" w:firstLine="620"/>
        <w:jc w:val="both"/>
      </w:pPr>
      <w:r>
        <w:rPr>
          <w:color w:val="000000"/>
          <w:spacing w:val="0"/>
          <w:w w:val="100"/>
          <w:position w:val="0"/>
          <w:shd w:val="clear" w:color="auto" w:fill="auto"/>
          <w:lang w:val="ru-RU" w:eastAsia="ru-RU" w:bidi="ru-RU"/>
        </w:rPr>
        <w:t>Признать в действиях Заказчика нарушение п.1 ч.1 ст.33 Закона о контрактной системе.</w:t>
      </w:r>
    </w:p>
    <w:p>
      <w:pPr>
        <w:pStyle w:val="Style6"/>
        <w:keepNext w:val="0"/>
        <w:keepLines w:val="0"/>
        <w:widowControl w:val="0"/>
        <w:numPr>
          <w:ilvl w:val="0"/>
          <w:numId w:val="1"/>
        </w:numPr>
        <w:shd w:val="clear" w:color="auto" w:fill="auto"/>
        <w:tabs>
          <w:tab w:pos="997" w:val="left"/>
        </w:tabs>
        <w:bidi w:val="0"/>
        <w:spacing w:before="0" w:after="0" w:line="230" w:lineRule="auto"/>
        <w:ind w:left="0" w:right="0" w:firstLine="62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не выдавать, так как выявленные нарушения не повлияли на результат определения поставщика (подрядчика, исполнителя).</w:t>
      </w:r>
    </w:p>
    <w:p>
      <w:pPr>
        <w:pStyle w:val="Style6"/>
        <w:keepNext w:val="0"/>
        <w:keepLines w:val="0"/>
        <w:widowControl w:val="0"/>
        <w:numPr>
          <w:ilvl w:val="0"/>
          <w:numId w:val="1"/>
        </w:numPr>
        <w:shd w:val="clear" w:color="auto" w:fill="auto"/>
        <w:tabs>
          <w:tab w:pos="1002" w:val="left"/>
        </w:tabs>
        <w:bidi w:val="0"/>
        <w:spacing w:before="0" w:after="200" w:line="230" w:lineRule="auto"/>
        <w:ind w:left="0" w:right="0" w:firstLine="62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360" w:line="226"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6"/>
        <w:keepNext w:val="0"/>
        <w:keepLines w:val="0"/>
        <w:widowControl w:val="0"/>
        <w:shd w:val="clear" w:color="auto" w:fill="auto"/>
        <w:tabs>
          <w:tab w:pos="8006" w:val="left"/>
        </w:tabs>
        <w:bidi w:val="0"/>
        <w:spacing w:before="0" w:after="40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Председательствующий</w:t>
        <w:tab/>
        <w:t>С.И. Казарин</w:t>
      </w:r>
    </w:p>
    <w:p>
      <w:pPr>
        <w:pStyle w:val="Style6"/>
        <w:keepNext w:val="0"/>
        <w:keepLines w:val="0"/>
        <w:widowControl w:val="0"/>
        <w:shd w:val="clear" w:color="auto" w:fill="auto"/>
        <w:bidi w:val="0"/>
        <w:spacing w:before="0" w:after="10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Члены комиссии:</w:t>
      </w:r>
    </w:p>
    <w:p>
      <w:pPr>
        <w:pStyle w:val="Style6"/>
        <w:keepNext w:val="0"/>
        <w:keepLines w:val="0"/>
        <w:widowControl w:val="0"/>
        <w:shd w:val="clear" w:color="auto" w:fill="auto"/>
        <w:bidi w:val="0"/>
        <w:spacing w:before="0" w:after="740" w:line="240" w:lineRule="auto"/>
        <w:ind w:left="0" w:right="0" w:firstLine="0"/>
        <w:jc w:val="right"/>
        <w:rPr>
          <w:sz w:val="26"/>
          <w:szCs w:val="26"/>
        </w:rPr>
      </w:pPr>
      <w:r>
        <w:rPr>
          <w:color w:val="000000"/>
          <w:spacing w:val="0"/>
          <w:w w:val="100"/>
          <w:position w:val="0"/>
          <w:sz w:val="26"/>
          <w:szCs w:val="26"/>
          <w:shd w:val="clear" w:color="auto" w:fill="auto"/>
          <w:lang w:val="ru-RU" w:eastAsia="ru-RU" w:bidi="ru-RU"/>
        </w:rPr>
        <w:t>М.О. Мацнева</w:t>
      </w:r>
    </w:p>
    <w:p>
      <w:pPr>
        <w:pStyle w:val="Style6"/>
        <w:keepNext w:val="0"/>
        <w:keepLines w:val="0"/>
        <w:widowControl w:val="0"/>
        <w:shd w:val="clear" w:color="auto" w:fill="auto"/>
        <w:bidi w:val="0"/>
        <w:spacing w:before="0" w:after="4900" w:line="240" w:lineRule="auto"/>
        <w:ind w:left="0" w:right="0" w:firstLine="0"/>
        <w:jc w:val="right"/>
        <w:rPr>
          <w:sz w:val="26"/>
          <w:szCs w:val="26"/>
        </w:rPr>
      </w:pPr>
      <w:r>
        <w:rPr>
          <w:color w:val="000000"/>
          <w:spacing w:val="0"/>
          <w:w w:val="100"/>
          <w:position w:val="0"/>
          <w:sz w:val="26"/>
          <w:szCs w:val="26"/>
          <w:shd w:val="clear" w:color="auto" w:fill="auto"/>
          <w:lang w:val="ru-RU" w:eastAsia="ru-RU" w:bidi="ru-RU"/>
        </w:rPr>
        <w:t>Н.А. Узкий</w:t>
      </w:r>
    </w:p>
    <w:p>
      <w:pPr>
        <w:pStyle w:val="Style10"/>
        <w:keepNext w:val="0"/>
        <w:keepLines w:val="0"/>
        <w:widowControl w:val="0"/>
        <w:shd w:val="clear" w:color="auto" w:fill="auto"/>
        <w:bidi w:val="0"/>
        <w:spacing w:before="0" w:after="0" w:line="240" w:lineRule="auto"/>
        <w:ind w:left="0" w:right="0" w:firstLine="0"/>
        <w:jc w:val="left"/>
      </w:pPr>
      <w:r>
        <w:rPr>
          <w:rFonts w:ascii="Courier New" w:eastAsia="Courier New" w:hAnsi="Courier New" w:cs="Courier New"/>
          <w:color w:val="000000"/>
          <w:spacing w:val="0"/>
          <w:w w:val="100"/>
          <w:position w:val="0"/>
          <w:shd w:val="clear" w:color="auto" w:fill="auto"/>
          <w:lang w:val="ru-RU" w:eastAsia="ru-RU" w:bidi="ru-RU"/>
        </w:rPr>
        <w:t>Исп.Узкий Н.А.</w:t>
      </w:r>
    </w:p>
    <w:p>
      <w:pPr>
        <w:pStyle w:val="Style10"/>
        <w:keepNext w:val="0"/>
        <w:keepLines w:val="0"/>
        <w:widowControl w:val="0"/>
        <w:shd w:val="clear" w:color="auto" w:fill="auto"/>
        <w:bidi w:val="0"/>
        <w:spacing w:before="0" w:after="360" w:line="240" w:lineRule="auto"/>
        <w:ind w:left="0" w:right="0" w:firstLine="0"/>
        <w:jc w:val="both"/>
      </w:pPr>
      <w:r>
        <w:rPr>
          <w:rFonts w:ascii="Courier New" w:eastAsia="Courier New" w:hAnsi="Courier New" w:cs="Courier New"/>
          <w:color w:val="000000"/>
          <w:spacing w:val="0"/>
          <w:w w:val="100"/>
          <w:position w:val="0"/>
          <w:shd w:val="clear" w:color="auto" w:fill="auto"/>
          <w:lang w:val="ru-RU" w:eastAsia="ru-RU" w:bidi="ru-RU"/>
        </w:rPr>
        <w:t>тел.8(495)784-75-05</w:t>
      </w:r>
    </w:p>
    <w:sectPr>
      <w:footnotePr>
        <w:pos w:val="pageBottom"/>
        <w:numFmt w:val="decimal"/>
        <w:numRestart w:val="continuous"/>
      </w:footnotePr>
      <w:pgSz w:w="11900" w:h="16840"/>
      <w:pgMar w:top="1081" w:right="1102" w:bottom="1081" w:left="1107" w:header="653" w:footer="65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Основной текст (3)_"/>
    <w:basedOn w:val="DefaultParagraphFont"/>
    <w:link w:val="Style10"/>
    <w:rPr>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Основной текст (3)"/>
    <w:basedOn w:val="Normal"/>
    <w:link w:val="CharStyle11"/>
    <w:pPr>
      <w:widowControl w:val="0"/>
      <w:shd w:val="clear" w:color="auto" w:fill="auto"/>
      <w:spacing w:after="180"/>
    </w:pPr>
    <w:rPr>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