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022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0225" cy="615950"/>
                    </a:xfrm>
                    <a:prstGeom prst="rect"/>
                  </pic:spPr>
                </pic:pic>
              </a:graphicData>
            </a:graphic>
          </wp:inline>
        </w:drawing>
      </w:r>
    </w:p>
    <w:p>
      <w:pPr>
        <w:pStyle w:val="Style2"/>
        <w:keepNext w:val="0"/>
        <w:keepLines w:val="0"/>
        <w:widowControl w:val="0"/>
        <w:shd w:val="clear" w:color="auto" w:fill="auto"/>
        <w:bidi w:val="0"/>
        <w:spacing w:before="0" w:after="180" w:line="26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е-таИ: 1о77@Га8.еоу.ги</w:t>
      </w:r>
    </w:p>
    <w:p>
      <w:pPr>
        <w:pStyle w:val="Style2"/>
        <w:keepNext w:val="0"/>
        <w:keepLines w:val="0"/>
        <w:widowControl w:val="0"/>
        <w:shd w:val="clear" w:color="auto" w:fill="auto"/>
        <w:tabs>
          <w:tab w:leader="underscore" w:pos="1762" w:val="left"/>
          <w:tab w:leader="underscore" w:pos="3926" w:val="left"/>
        </w:tabs>
        <w:bidi w:val="0"/>
        <w:spacing w:before="0" w:after="0" w:line="240" w:lineRule="auto"/>
        <w:ind w:left="0" w:right="0" w:firstLine="0"/>
        <w:jc w:val="both"/>
      </w:pPr>
      <w:r>
        <w:rPr>
          <w:spacing w:val="0"/>
          <w:w w:val="100"/>
          <w:position w:val="0"/>
          <w:shd w:val="clear" w:color="auto" w:fill="auto"/>
          <w:lang w:val="ru-RU" w:eastAsia="ru-RU" w:bidi="ru-RU"/>
        </w:rPr>
        <w:tab/>
        <w:t xml:space="preserve"> №</w:t>
        <w:tab/>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«МС Групп»</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МЕ^8ЕКVОК@УА^^ЕX.К^</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ИКБ № 2 ДЗМ</w:t>
      </w:r>
    </w:p>
    <w:p>
      <w:pPr>
        <w:pStyle w:val="Style6"/>
        <w:keepNext w:val="0"/>
        <w:keepLines w:val="0"/>
        <w:widowControl w:val="0"/>
        <w:shd w:val="clear" w:color="auto" w:fill="auto"/>
        <w:bidi w:val="0"/>
        <w:spacing w:before="0" w:after="0" w:line="240" w:lineRule="auto"/>
        <w:ind w:left="0" w:right="0" w:firstLine="0"/>
        <w:jc w:val="left"/>
        <w:sectPr>
          <w:headerReference w:type="default" r:id="rId7"/>
          <w:headerReference w:type="first" r:id="rId8"/>
          <w:footnotePr>
            <w:pos w:val="pageBottom"/>
            <w:numFmt w:val="decimal"/>
            <w:numRestart w:val="continuous"/>
          </w:footnotePr>
          <w:pgSz w:w="11900" w:h="16840"/>
          <w:pgMar w:top="294" w:right="2266" w:bottom="492" w:left="1148" w:header="0" w:footer="3" w:gutter="0"/>
          <w:pgNumType w:start="1"/>
          <w:cols w:num="2" w:space="720" w:equalWidth="0">
            <w:col w:w="4061" w:space="797"/>
            <w:col w:w="3629"/>
          </w:cols>
          <w:noEndnote/>
          <w:titlePg/>
          <w:rtlGutter w:val="0"/>
          <w:docGrid w:linePitch="360"/>
        </w:sectPr>
      </w:pPr>
      <w:r>
        <w:rPr>
          <w:color w:val="000000"/>
          <w:spacing w:val="0"/>
          <w:w w:val="100"/>
          <w:position w:val="0"/>
          <w:shd w:val="clear" w:color="auto" w:fill="auto"/>
          <w:lang w:val="ru-RU" w:eastAsia="ru-RU" w:bidi="ru-RU"/>
        </w:rPr>
        <w:t>^кЪ2-^о^д@та^1.^и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294" w:right="0" w:bottom="492" w:left="0" w:header="0" w:footer="3" w:gutter="0"/>
          <w:cols w:space="720"/>
          <w:noEndnote/>
          <w:rtlGutter w:val="0"/>
          <w:docGrid w:linePitch="360"/>
        </w:sectPr>
      </w:pPr>
    </w:p>
    <w:p>
      <w:pPr>
        <w:pStyle w:val="Style8"/>
        <w:keepNext w:val="0"/>
        <w:keepLines w:val="0"/>
        <w:framePr w:w="4061" w:h="211" w:wrap="none" w:vAnchor="text" w:hAnchor="page" w:x="1149"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spacing w:line="360" w:lineRule="exact"/>
      </w:pPr>
      <w:r>
        <w:drawing>
          <wp:anchor distT="435610" distB="0" distL="6350" distR="0" simplePos="0" relativeHeight="62914692" behindDoc="1" locked="0" layoutInCell="1" allowOverlap="1">
            <wp:simplePos x="0" y="0"/>
            <wp:positionH relativeFrom="page">
              <wp:posOffset>735330</wp:posOffset>
            </wp:positionH>
            <wp:positionV relativeFrom="paragraph">
              <wp:posOffset>448310</wp:posOffset>
            </wp:positionV>
            <wp:extent cx="2590800" cy="176530"/>
            <wp:wrapNone/>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2590800" cy="176530"/>
                    </a:xfrm>
                    <a:prstGeom prst="rect"/>
                  </pic:spPr>
                </pic:pic>
              </a:graphicData>
            </a:graphic>
          </wp:anchor>
        </w:drawing>
      </w:r>
    </w:p>
    <w:p>
      <w:pPr>
        <w:widowControl w:val="0"/>
        <w:spacing w:after="604" w:line="1" w:lineRule="exact"/>
      </w:pPr>
    </w:p>
    <w:p>
      <w:pPr>
        <w:widowControl w:val="0"/>
        <w:spacing w:line="1" w:lineRule="exact"/>
        <w:sectPr>
          <w:footnotePr>
            <w:pos w:val="pageBottom"/>
            <w:numFmt w:val="decimal"/>
            <w:numRestart w:val="continuous"/>
          </w:footnotePr>
          <w:type w:val="continuous"/>
          <w:pgSz w:w="11900" w:h="16840"/>
          <w:pgMar w:top="294" w:right="528" w:bottom="492" w:left="1104" w:header="0" w:footer="3" w:gutter="0"/>
          <w:cols w:space="720"/>
          <w:noEndnote/>
          <w:rtlGutter w:val="0"/>
          <w:docGrid w:linePitch="360"/>
        </w:sectPr>
      </w:pPr>
    </w:p>
    <w:p>
      <w:pPr>
        <w:widowControl w:val="0"/>
        <w:spacing w:before="83" w:after="8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7" w:right="0" w:bottom="138"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077/06/106-ММ/10/2023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69"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ГБУЗ ИКБ № 2 ДЗМ: Яковлевой Е.П. (по доверенности №б/н от 15.04.2023),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«МС Групп», о времени и порядке заседания Комиссии Управления уведомлены надлежащим образом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ООО «МС Групп» (далее — Заявитель) на действия ГБУЗ ИКБ № 2 ДЗМ (далее — Заказчик) при проведении электронного аукциона на право заключения государственного контракта на поставку шприцев для нужд ГБУЗ ИКБ №2 ДЗМ (Закупка № 0373200053623000145)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 ч.1 ст.33 Закона о контрактной системе установлено, что в описании объекта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совокупности требований, установленных для поставляемых товаров по позициям 2-5 «Шприц общего назначения» технического задания, соответствуют товары исключительно зарубежных производителей, поскольку поставляемые шприцы должны быть совместимы со шприцевыми насосами марки «Перфузор» компании В.Вгаип.</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этом согласно руководству по эксплуатации шприцевого насоса РЕКГиЗОК ЗРАСЕ, РЕКБиЗОК СОМРАСТ 3 от компании В.Вгаип для данного насоса установлены обязательные требования в части обеспечения безопасности пациента, в частности, предписано использовать только такие комбинации оборудования, принадлежностей и расходных материалов, которые рекомендованы как совместимые. Использование не рекомендуемых или не одобренных расходных материалов может влиять на технические характеристики и не может </w:t>
      </w:r>
      <w:r>
        <w:rPr>
          <w:color w:val="000000"/>
          <w:spacing w:val="0"/>
          <w:w w:val="100"/>
          <w:position w:val="0"/>
          <w:shd w:val="clear" w:color="auto" w:fill="auto"/>
          <w:lang w:val="ru-RU" w:eastAsia="ru-RU" w:bidi="ru-RU"/>
        </w:rPr>
        <w:t>гарантировать обеспечение безопасности пациентов. Руководством по эксплуатации установлен перечень совместимых с данным оборудованием шприцев, при этом в числе шприцев, совместимых с данным шприцевым насосом, значатся шприцы исключительно зарубежных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включение в техническое задание шприцев, совместимых со шприцевыми насосами Перфузор, и расходных материалов, не требующих такой совместимости, фактически исключает возможность отечественных производителей шприцев воспользоваться гарантированным Законодателем преимуществом, установленным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№102). Таким образом, ограничения на поставку товаров иностранного производства фактически не могут быть реализованы.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аукциона ограничение допуска отдельных видов медицинских изделий, происходящих из иностранных государств в соответствии с постановлением №102 Заказчиком не установлены.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соответствии с извещением о проведении электронного аукциона, Заказчиком для закупаемых товаров выбран код ОКПД 2 32.50.13.110.</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постановления № 102 утвержден Перечень отдельных видов медицинских изделий, происходящих из иностранных государств, в отношении которых устанавливается ограничение допуска для целей осуществления закупок для государственных и муниципальных нужд (далее - Перечень).</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примечанию к Перечню №1 при применении данного Перечня следует руководствоваться как кодом в соответствии с Общероссийским классификатором продукции по видам экономической деятельности (ОКПД 2), так и наименованием вида медицинского изделия.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ни одно из медицинских изделий, являющиеся объектом закупки не попадает под действие постановления № 102, так как предметом закупки являются шприцы общего назначения, в то время как в Перечень включены «Шприцы-инъекторы медицинские многоразового и одноразового использования с инъекционными иглами и без них».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аукционной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отмечает, что данный довод жалобы Заявителя относительно невозможности реализации ограничений на поставку товаров иностранного производства является несостоятельным и не основан на фактических положениях извещения.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данных Комиссия Управления приходит к выводу о необоснованности вышеуказанного довода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1. Признать жалобу ООО «МС Групп» на действия ГБУЗ ИКБ № 2 ДЗМ необоснованной.</w:t>
      </w:r>
    </w:p>
    <w:p>
      <w:pPr>
        <w:pStyle w:val="Style6"/>
        <w:keepNext w:val="0"/>
        <w:keepLines w:val="0"/>
        <w:widowControl w:val="0"/>
        <w:shd w:val="clear" w:color="auto" w:fill="auto"/>
        <w:bidi w:val="0"/>
        <w:spacing w:before="0" w:after="260" w:line="240" w:lineRule="auto"/>
        <w:ind w:left="0" w:right="0" w:firstLine="62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путем проведения аукционов, наложенные письмом Московского УФАС России.</w:t>
      </w:r>
    </w:p>
    <w:p>
      <w:pPr>
        <w:pStyle w:val="Style6"/>
        <w:keepNext w:val="0"/>
        <w:keepLines w:val="0"/>
        <w:widowControl w:val="0"/>
        <w:shd w:val="clear" w:color="auto" w:fill="auto"/>
        <w:bidi w:val="0"/>
        <w:spacing w:before="0" w:after="82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741680</wp:posOffset>
                </wp:positionH>
                <wp:positionV relativeFrom="paragraph">
                  <wp:posOffset>12700</wp:posOffset>
                </wp:positionV>
                <wp:extent cx="1850390" cy="594360"/>
                <wp:wrapSquare wrapText="right"/>
                <wp:docPr id="6" name="Shape 6"/>
                <a:graphic xmlns:a="http://schemas.openxmlformats.org/drawingml/2006/main">
                  <a:graphicData uri="http://schemas.microsoft.com/office/word/2010/wordprocessingShape">
                    <wps:wsp>
                      <wps:cNvSpPr txBox="1"/>
                      <wps:spPr>
                        <a:xfrm>
                          <a:ext cx="1850390" cy="594360"/>
                        </a:xfrm>
                        <a:prstGeom prst="rect"/>
                        <a:noFill/>
                      </wps:spPr>
                      <wps:txbx>
                        <w:txbxContent>
                          <w:p>
                            <w:pPr>
                              <w:pStyle w:val="Style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2" type="#_x0000_t202" style="position:absolute;margin-left:58.399999999999999pt;margin-top:1.pt;width:145.70000000000002pt;height:46.800000000000004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Н.А. Узкий</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М.О. Мацнева</w:t>
      </w:r>
    </w:p>
    <w:sectPr>
      <w:footnotePr>
        <w:pos w:val="pageBottom"/>
        <w:numFmt w:val="decimal"/>
        <w:numRestart w:val="continuous"/>
      </w:footnotePr>
      <w:type w:val="continuous"/>
      <w:pgSz w:w="11900" w:h="16840"/>
      <w:pgMar w:top="847" w:right="530" w:bottom="138" w:left="110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370840</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29.19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