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0" w:line="276"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7"/>
        <w:keepNext w:val="0"/>
        <w:keepLines w:val="0"/>
        <w:widowControl w:val="0"/>
        <w:shd w:val="clear" w:color="auto" w:fill="auto"/>
        <w:bidi w:val="0"/>
        <w:spacing w:before="0" w:after="140" w:line="276"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10"/>
        <w:keepNext w:val="0"/>
        <w:keepLines w:val="0"/>
        <w:widowControl w:val="0"/>
        <w:shd w:val="clear" w:color="auto" w:fill="auto"/>
        <w:bidi w:val="0"/>
        <w:spacing w:before="0" w:after="18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Республике Крым и городу Севастополю</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Александра Невского. 1</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Симферополь, Республика Крым, 295000</w:t>
        <w:br/>
        <w:t>тел. (499) 755-23-23 доб. 082-100</w:t>
        <w:br/>
        <w:t>е-тай: 1о82@Гав.§оу.ги</w:t>
      </w:r>
    </w:p>
    <w:p>
      <w:pPr>
        <w:pStyle w:val="Style13"/>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ВМ/3 90/23</w:t>
      </w:r>
    </w:p>
    <w:p>
      <w:pPr>
        <w:pStyle w:val="Style10"/>
        <w:keepNext w:val="0"/>
        <w:keepLines w:val="0"/>
        <w:widowControl w:val="0"/>
        <w:shd w:val="clear" w:color="auto" w:fill="auto"/>
        <w:bidi w:val="0"/>
        <w:spacing w:before="0" w:after="620" w:line="259" w:lineRule="auto"/>
        <w:ind w:left="0" w:right="0" w:firstLine="0"/>
        <w:jc w:val="both"/>
      </w:pPr>
      <w:r>
        <w:rPr>
          <w:color w:val="4460A3"/>
          <w:spacing w:val="0"/>
          <w:w w:val="100"/>
          <w:position w:val="0"/>
          <w:shd w:val="clear" w:color="auto" w:fill="auto"/>
          <w:lang w:val="ru-RU" w:eastAsia="ru-RU" w:bidi="ru-RU"/>
        </w:rPr>
        <w:t xml:space="preserve">На №  от</w:t>
      </w:r>
    </w:p>
    <w:p>
      <w:pPr>
        <w:pStyle w:val="Style18"/>
        <w:keepNext w:val="0"/>
        <w:keepLines w:val="0"/>
        <w:widowControl w:val="0"/>
        <w:shd w:val="clear" w:color="auto" w:fill="auto"/>
        <w:bidi w:val="0"/>
        <w:spacing w:before="0" w:after="0" w:line="240" w:lineRule="auto"/>
        <w:ind w:left="0" w:right="0" w:firstLine="0"/>
        <w:jc w:val="both"/>
      </w:pPr>
      <w:r>
        <w:rPr>
          <w:i w:val="0"/>
          <w:iCs w:val="0"/>
          <w:color w:val="000000"/>
          <w:spacing w:val="0"/>
          <w:w w:val="100"/>
          <w:position w:val="0"/>
          <w:sz w:val="24"/>
          <w:szCs w:val="24"/>
          <w:shd w:val="clear" w:color="auto" w:fill="auto"/>
          <w:lang w:val="ru-RU" w:eastAsia="ru-RU" w:bidi="ru-RU"/>
        </w:rPr>
        <w:t>РЕШЕНИЕ по делу № 082/06/105- 595/2023</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ЗАКАЗЧИК:</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 xml:space="preserve">Государственное казенное учреждение Севастополя «Медицинский склад № 1043» ул. Токарева, дом 2 г. Севастополь, 299029 </w:t>
      </w:r>
      <w:r>
        <w:fldChar w:fldCharType="begin"/>
      </w:r>
      <w:r>
        <w:rPr/>
        <w:instrText> HYPERLINK "mailto:medsklad_1043@sev.gov.ru" </w:instrText>
      </w:r>
      <w:r>
        <w:fldChar w:fldCharType="separate"/>
      </w:r>
      <w:r>
        <w:rPr>
          <w:color w:val="000080"/>
          <w:spacing w:val="0"/>
          <w:w w:val="100"/>
          <w:position w:val="0"/>
          <w:shd w:val="clear" w:color="auto" w:fill="auto"/>
          <w:lang w:val="ru-RU" w:eastAsia="ru-RU" w:bidi="ru-RU"/>
        </w:rPr>
        <w:t>шеддк1ад 1043@8еу.доути</w:t>
      </w:r>
      <w:r>
        <w:fldChar w:fldCharType="end"/>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 xml:space="preserve">УПОЛНОМОЧЕННЫЙ ОРГАН: </w:t>
      </w:r>
      <w:r>
        <w:rPr>
          <w:color w:val="000000"/>
          <w:spacing w:val="0"/>
          <w:w w:val="100"/>
          <w:position w:val="0"/>
          <w:shd w:val="clear" w:color="auto" w:fill="auto"/>
          <w:lang w:val="ru-RU" w:eastAsia="ru-RU" w:bidi="ru-RU"/>
        </w:rPr>
        <w:t>Департамент управления делами губернатора и правительства Севастополя</w:t>
      </w:r>
    </w:p>
    <w:p>
      <w:pPr>
        <w:pStyle w:val="Style13"/>
        <w:keepNext w:val="0"/>
        <w:keepLines w:val="0"/>
        <w:widowControl w:val="0"/>
        <w:pBdr>
          <w:bottom w:val="single" w:sz="4" w:space="0" w:color="auto"/>
        </w:pBdr>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 xml:space="preserve">ул. Ленина, дом 2 г. Севастополь, 299011 </w:t>
      </w:r>
      <w:r>
        <w:fldChar w:fldCharType="begin"/>
      </w:r>
      <w:r>
        <w:rPr/>
        <w:instrText> HYPERLINK "mailto:v.demkovskii@sev.gov.ru" </w:instrText>
      </w:r>
      <w:r>
        <w:fldChar w:fldCharType="separate"/>
      </w:r>
      <w:r>
        <w:rPr>
          <w:color w:val="000080"/>
          <w:spacing w:val="0"/>
          <w:w w:val="100"/>
          <w:position w:val="0"/>
          <w:shd w:val="clear" w:color="auto" w:fill="auto"/>
          <w:lang w:val="ru-RU" w:eastAsia="ru-RU" w:bidi="ru-RU"/>
        </w:rPr>
        <w:t>у</w:t>
      </w:r>
      <w:r>
        <w:rPr>
          <w:color w:val="000080"/>
          <w:spacing w:val="0"/>
          <w:w w:val="100"/>
          <w:position w:val="0"/>
          <w:shd w:val="clear" w:color="auto" w:fill="auto"/>
          <w:vertAlign w:val="subscript"/>
          <w:lang w:val="ru-RU" w:eastAsia="ru-RU" w:bidi="ru-RU"/>
        </w:rPr>
        <w:t>2</w:t>
      </w:r>
      <w:r>
        <w:rPr>
          <w:color w:val="000080"/>
          <w:spacing w:val="0"/>
          <w:w w:val="100"/>
          <w:position w:val="0"/>
          <w:shd w:val="clear" w:color="auto" w:fill="auto"/>
          <w:lang w:val="ru-RU" w:eastAsia="ru-RU" w:bidi="ru-RU"/>
        </w:rPr>
        <w:t>4еткоу8кп@8еу</w:t>
      </w:r>
      <w:r>
        <w:rPr>
          <w:color w:val="000080"/>
          <w:spacing w:val="0"/>
          <w:w w:val="100"/>
          <w:position w:val="0"/>
          <w:shd w:val="clear" w:color="auto" w:fill="auto"/>
          <w:vertAlign w:val="subscript"/>
          <w:lang w:val="ru-RU" w:eastAsia="ru-RU" w:bidi="ru-RU"/>
        </w:rPr>
        <w:t>д</w:t>
      </w:r>
      <w:r>
        <w:rPr>
          <w:color w:val="000080"/>
          <w:spacing w:val="0"/>
          <w:w w:val="100"/>
          <w:position w:val="0"/>
          <w:shd w:val="clear" w:color="auto" w:fill="auto"/>
          <w:lang w:val="ru-RU" w:eastAsia="ru-RU" w:bidi="ru-RU"/>
        </w:rPr>
        <w:t>доули</w:t>
      </w:r>
      <w:r>
        <w:fldChar w:fldCharType="end"/>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ЗАЯВИТЕЛЬ:</w:t>
      </w:r>
    </w:p>
    <w:p>
      <w:pPr>
        <w:pStyle w:val="Style13"/>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568" w:bottom="1231" w:left="1140" w:header="0" w:footer="3" w:gutter="0"/>
          <w:pgNumType w:start="1"/>
          <w:cols w:num="2" w:space="1053"/>
          <w:noEndnote/>
          <w:titlePg/>
          <w:rtlGutter w:val="0"/>
          <w:docGrid w:linePitch="360"/>
        </w:sectPr>
      </w:pPr>
      <w:r>
        <w:rPr>
          <w:color w:val="000000"/>
          <w:spacing w:val="0"/>
          <w:w w:val="100"/>
          <w:position w:val="0"/>
          <w:shd w:val="clear" w:color="auto" w:fill="auto"/>
          <w:lang w:val="ru-RU" w:eastAsia="ru-RU" w:bidi="ru-RU"/>
        </w:rPr>
        <w:t>Общество с ограниченной ответственностью «Медресурс»</w:t>
      </w:r>
    </w:p>
    <w:p>
      <w:pPr>
        <w:widowControl w:val="0"/>
        <w:spacing w:line="188" w:lineRule="exact"/>
        <w:rPr>
          <w:sz w:val="15"/>
          <w:szCs w:val="15"/>
        </w:rPr>
      </w:pPr>
    </w:p>
    <w:p>
      <w:pPr>
        <w:widowControl w:val="0"/>
        <w:spacing w:line="1" w:lineRule="exact"/>
        <w:sectPr>
          <w:footnotePr>
            <w:pos w:val="pageBottom"/>
            <w:numFmt w:val="decimal"/>
            <w:numRestart w:val="continuous"/>
          </w:footnotePr>
          <w:type w:val="continuous"/>
          <w:pgSz w:w="11900" w:h="16840"/>
          <w:pgMar w:top="87" w:right="0" w:bottom="1207"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5220" w:right="0" w:firstLine="0"/>
        <w:jc w:val="left"/>
      </w:pPr>
      <w:r>
        <w:rPr>
          <w:color w:val="000000"/>
          <w:spacing w:val="0"/>
          <w:w w:val="100"/>
          <w:position w:val="0"/>
          <w:shd w:val="clear" w:color="auto" w:fill="auto"/>
          <w:lang w:val="ru-RU" w:eastAsia="ru-RU" w:bidi="ru-RU"/>
        </w:rPr>
        <w:t>ул. Маяковского, д. 17А, г. Истра, Московская область, 143500</w:t>
      </w:r>
    </w:p>
    <w:p>
      <w:pPr>
        <w:pStyle w:val="Style13"/>
        <w:keepNext w:val="0"/>
        <w:keepLines w:val="0"/>
        <w:widowControl w:val="0"/>
        <w:shd w:val="clear" w:color="auto" w:fill="auto"/>
        <w:bidi w:val="0"/>
        <w:spacing w:before="0" w:after="280" w:line="240" w:lineRule="auto"/>
        <w:ind w:left="5220" w:right="0" w:firstLine="0"/>
        <w:jc w:val="left"/>
      </w:pPr>
      <w:r>
        <w:fldChar w:fldCharType="begin"/>
      </w:r>
      <w:r>
        <w:rPr/>
        <w:instrText> HYPERLINK "mailto:misterjntw@yandex.ru" </w:instrText>
      </w:r>
      <w:r>
        <w:fldChar w:fldCharType="separate"/>
      </w:r>
      <w:r>
        <w:rPr>
          <w:color w:val="000080"/>
          <w:spacing w:val="0"/>
          <w:w w:val="100"/>
          <w:position w:val="0"/>
          <w:u w:val="single"/>
          <w:shd w:val="clear" w:color="auto" w:fill="auto"/>
          <w:lang w:val="ru-RU" w:eastAsia="ru-RU" w:bidi="ru-RU"/>
        </w:rPr>
        <w:t>тГо@то8тедге8иг8.щ</w:t>
      </w:r>
      <w:r>
        <w:fldChar w:fldCharType="end"/>
      </w:r>
    </w:p>
    <w:p>
      <w:pPr>
        <w:pStyle w:val="Style13"/>
        <w:keepNext w:val="0"/>
        <w:keepLines w:val="0"/>
        <w:widowControl w:val="0"/>
        <w:shd w:val="clear" w:color="auto" w:fill="auto"/>
        <w:bidi w:val="0"/>
        <w:spacing w:before="0" w:after="0" w:line="240" w:lineRule="auto"/>
        <w:ind w:left="5220" w:right="0" w:firstLine="0"/>
        <w:jc w:val="left"/>
      </w:pPr>
      <w:r>
        <w:rPr>
          <w:color w:val="000000"/>
          <w:spacing w:val="0"/>
          <w:w w:val="100"/>
          <w:position w:val="0"/>
          <w:u w:val="single"/>
          <w:shd w:val="clear" w:color="auto" w:fill="auto"/>
          <w:lang w:val="ru-RU" w:eastAsia="ru-RU" w:bidi="ru-RU"/>
        </w:rPr>
        <w:t xml:space="preserve">ЭЛЕКТРОННАЯ ПЛОЩАДКА: </w:t>
      </w:r>
      <w:r>
        <w:rPr>
          <w:color w:val="000000"/>
          <w:spacing w:val="0"/>
          <w:w w:val="100"/>
          <w:position w:val="0"/>
          <w:shd w:val="clear" w:color="auto" w:fill="auto"/>
          <w:lang w:val="ru-RU" w:eastAsia="ru-RU" w:bidi="ru-RU"/>
        </w:rPr>
        <w:t>Акционерное общество «Единая электронная торговая площадка» ул. Кожевническая, д. 14, стр. 5 г. Москва, 115114</w:t>
      </w:r>
    </w:p>
    <w:p>
      <w:pPr>
        <w:pStyle w:val="Style13"/>
        <w:keepNext w:val="0"/>
        <w:keepLines w:val="0"/>
        <w:widowControl w:val="0"/>
        <w:shd w:val="clear" w:color="auto" w:fill="auto"/>
        <w:bidi w:val="0"/>
        <w:spacing w:before="0" w:after="560" w:line="240" w:lineRule="auto"/>
        <w:ind w:left="0" w:right="2840" w:firstLine="0"/>
        <w:jc w:val="right"/>
      </w:pPr>
      <w:r>
        <w:rPr>
          <w:color w:val="0000FF"/>
          <w:spacing w:val="0"/>
          <w:w w:val="100"/>
          <w:position w:val="0"/>
          <w:u w:val="single"/>
          <w:shd w:val="clear" w:color="auto" w:fill="auto"/>
          <w:lang w:val="ru-RU" w:eastAsia="ru-RU" w:bidi="ru-RU"/>
        </w:rPr>
        <w:t>тГо@го8екогд.ш</w:t>
      </w:r>
    </w:p>
    <w:p>
      <w:pPr>
        <w:pStyle w:val="Style30"/>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3"/>
        <w:keepNext w:val="0"/>
        <w:keepLines w:val="0"/>
        <w:widowControl w:val="0"/>
        <w:shd w:val="clear" w:color="auto" w:fill="auto"/>
        <w:bidi w:val="0"/>
        <w:spacing w:before="0" w:after="0"/>
        <w:ind w:left="2620" w:right="0" w:firstLine="0"/>
        <w:jc w:val="left"/>
      </w:pPr>
      <w:r>
        <w:rPr>
          <w:color w:val="000000"/>
          <w:spacing w:val="0"/>
          <w:w w:val="100"/>
          <w:position w:val="0"/>
          <w:shd w:val="clear" w:color="auto" w:fill="auto"/>
          <w:lang w:val="ru-RU" w:eastAsia="ru-RU" w:bidi="ru-RU"/>
        </w:rPr>
        <w:t>по делу № 082/06/105-595/2023 о нарушении законодательства об осуществлении закупок</w:t>
      </w:r>
    </w:p>
    <w:p>
      <w:pPr>
        <w:pStyle w:val="Style13"/>
        <w:keepNext w:val="0"/>
        <w:keepLines w:val="0"/>
        <w:widowControl w:val="0"/>
        <w:shd w:val="clear" w:color="auto" w:fill="auto"/>
        <w:bidi w:val="0"/>
        <w:spacing w:before="0" w:after="0"/>
        <w:ind w:left="0" w:right="0" w:firstLine="0"/>
        <w:jc w:val="right"/>
      </w:pPr>
      <w:r>
        <w:rPr>
          <w:color w:val="000000"/>
          <w:spacing w:val="0"/>
          <w:w w:val="100"/>
          <w:position w:val="0"/>
          <w:shd w:val="clear" w:color="auto" w:fill="auto"/>
          <w:lang w:val="ru-RU" w:eastAsia="ru-RU" w:bidi="ru-RU"/>
        </w:rPr>
        <w:t>г. Севастополь</w:t>
      </w:r>
    </w:p>
    <w:p>
      <w:pPr>
        <w:pStyle w:val="Style13"/>
        <w:keepNext w:val="0"/>
        <w:keepLines w:val="0"/>
        <w:widowControl w:val="0"/>
        <w:shd w:val="clear" w:color="auto" w:fill="auto"/>
        <w:bidi w:val="0"/>
        <w:spacing w:before="0" w:after="0"/>
        <w:ind w:left="0" w:right="0" w:firstLine="740"/>
        <w:jc w:val="left"/>
      </w:pPr>
      <w:r>
        <w:rPr>
          <w:color w:val="000000"/>
          <w:spacing w:val="0"/>
          <w:w w:val="100"/>
          <w:position w:val="0"/>
          <w:shd w:val="clear" w:color="auto" w:fill="auto"/>
          <w:lang w:val="ru-RU" w:eastAsia="ru-RU" w:bidi="ru-RU"/>
        </w:rPr>
        <w:t>Резолютивная часть решения объявлена 04 мая 2023 года.</w:t>
      </w:r>
    </w:p>
    <w:p>
      <w:pPr>
        <w:pStyle w:val="Style13"/>
        <w:keepNext w:val="0"/>
        <w:keepLines w:val="0"/>
        <w:widowControl w:val="0"/>
        <w:shd w:val="clear" w:color="auto" w:fill="auto"/>
        <w:bidi w:val="0"/>
        <w:spacing w:before="0" w:after="720"/>
        <w:ind w:left="0" w:right="0" w:firstLine="740"/>
        <w:jc w:val="left"/>
      </w:pPr>
      <w:r>
        <w:rPr>
          <w:color w:val="000000"/>
          <w:spacing w:val="0"/>
          <w:w w:val="100"/>
          <w:position w:val="0"/>
          <w:shd w:val="clear" w:color="auto" w:fill="auto"/>
          <w:lang w:val="ru-RU" w:eastAsia="ru-RU" w:bidi="ru-RU"/>
        </w:rPr>
        <w:t>Решение изготовлено в полном объеме 05 мая 2023 года.</w:t>
      </w:r>
    </w:p>
    <w:p>
      <w:pPr>
        <w:pStyle w:val="Style32"/>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Управления, член Комиссии, Носова К.В. - специалист-эксперт Отдела Управления, член Комиссии, при очном участии представителя Департамента управления делами губернатора и правительства Севастополя: Гагариной В.Л. (доверенность №4 от 09.01.2023г.), при подключении посредством интернет-видеоконференции через программу «ТгиеСоП» представителя Государственного казенного учреждения Севастополя «Медицинский склад № 1043»: Павловой А.С. (доверенность №6 от 09.01.2023г.), представитель Общества с ограниченной ответственностью «Медресурс» посредством интернет- видеоконференции через программу «ТгиеСопГ» не подключался, очное участие не принимал, о дате, времени и месте рассмотрения дела посредством интернет- видеоконференции уведомлен надлежащим образом, рассмотрев жалобу Общества с ограниченной ответственностью «Медресурс» (далее - Заявитель) на действия Государственного казенного учреждения Севастополя «Медицинский склад № 1043» (далее - Заказчик) при проведении электронного аукциона на поставку лекарственного(-ых) препарата(-ов) для медицинского применения для льготной категории граждан (Трамадол), извещение №0174500001123001566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Извещение о проведении Конкурса, протоколы заседаний Конкурсной комиссии размещены на официальном сайте</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ЬйрУ/гакиркЁдо^ш</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в информационно</w:t>
        <w:softHyphen/>
        <w:t>телекоммуникационной сети «Интернет» (далее - ЕИС).</w:t>
      </w:r>
    </w:p>
    <w:p>
      <w:pPr>
        <w:pStyle w:val="Style13"/>
        <w:keepNext w:val="0"/>
        <w:keepLines w:val="0"/>
        <w:widowControl w:val="0"/>
        <w:shd w:val="clear" w:color="auto" w:fill="auto"/>
        <w:bidi w:val="0"/>
        <w:spacing w:before="0" w:after="0"/>
        <w:ind w:left="0" w:right="0" w:firstLine="740"/>
        <w:jc w:val="both"/>
        <w:rPr>
          <w:sz w:val="24"/>
          <w:szCs w:val="24"/>
        </w:rPr>
      </w:pPr>
      <w:r>
        <w:rPr>
          <w:color w:val="000000"/>
          <w:spacing w:val="0"/>
          <w:w w:val="100"/>
          <w:position w:val="0"/>
          <w:sz w:val="28"/>
          <w:szCs w:val="28"/>
          <w:shd w:val="clear" w:color="auto" w:fill="auto"/>
          <w:lang w:val="ru-RU" w:eastAsia="ru-RU" w:bidi="ru-RU"/>
        </w:rPr>
        <w:t xml:space="preserve">По мнению Заявителя, Комиссия по осуществлению закупок Заказчика неверно определила победителя электронного аукциона, а именно, не применила положения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Приказ Минфина № 126н) и Постановления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установленные в извещении об осуществлении закупки.. В своей жалобе Заявитель указал следующие доводы: </w:t>
      </w:r>
      <w:r>
        <w:rPr>
          <w:i/>
          <w:iCs/>
          <w:color w:val="000000"/>
          <w:spacing w:val="0"/>
          <w:w w:val="100"/>
          <w:position w:val="0"/>
          <w:sz w:val="24"/>
          <w:szCs w:val="24"/>
          <w:shd w:val="clear" w:color="auto" w:fill="auto"/>
          <w:lang w:val="ru-RU" w:eastAsia="ru-RU" w:bidi="ru-RU"/>
        </w:rPr>
        <w:t>«...Согласно Протоколу проведения электронного аукциона 0174500001123001566 комиссия приняла решение признать победителем электронного аукциона участника закупки, подавшего заявку №2 по цене контракта - 219 616,40 руб., как участником, предложившим более низкую цену.</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При рассмотрении заявок закупочная комиссия не применила положения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Постановления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Согласно извещению о проведении электронного аукциона 0174500001123001566 объектом закупки является поставка лекарственного препарата МНН Трамадол, включенного в Перечень, установленный Постановлением К 1289, при этом Заказчиком установлены ограничения, предусмотренные положениями Постановления ^ 1289, а также условия допуска, предусмотренные положениями Приказа^ 126н от 04.06.2018г.</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Подтверждением соответствия лекарственного препарата и фармацевтической субстанции требованиям, указанным в п. 1(1) Постановления ^ 1289 и пп."а" п. 1.4 Приказа ^ 126н, являются сертификат о происхождении товара по форме СТ-1,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в соответствии с п.</w:t>
      </w:r>
    </w:p>
    <w:p>
      <w:pPr>
        <w:pStyle w:val="Style18"/>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1(2) Постановления ^ 1289, сведений о документе, содержащем сведения о стадиях технологического процесса производства лекарственного средства.</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В составе заявки ООО «Медресурс» был предоставлен к поставке лекарственный препарат МНН Трамадол, ТН Трамадол, производитель АО "Усолье-Сибирский химфармзавод", РУ № ЛП-006134, Держатель: АО "Усолье-Сибирский химфармзавод", Россия, сертификат по форме СТ-1 подтверждающий страну происхождения препарата №1017000099, номер бланка 0413984, выдан 29.06.2021 г. Союзом Торгово-промышленной палаты Восточной Сибири (срок сертификата был продлен на 12 месяцев на основании Постановления Правительства №353 от 12.03.2022г «Об особенностях разрешительной деятельности в РФ в 2022г.»),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 - 0001992/02/2023, дата выдачи 06.02.2023 г., заключение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 МР-0193-000531 20 от 04.08.2020г.</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Таким образом все стадии производства предложенного ООО «Медресурс» лекарственного препарата, в том числе фармацевтическая субстанция, производится на территории Российской Федерации и в составе заявки ООО «Медресурс» представлены документы и сведения, подтверждающие страну происхождения препарата, фармацевтической субстанции, предусмотренные положениями Постановления ^ 1289.</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На основании пп. "б" п. 1.3 приказа ^ 126н при проведении аукциона контракт заключается по цене, предложенной победителем аукциона в случае, если заявка такого победителя содержит предложение о поставке товаров, указанных в Приложении, и происходящих исключительно из государств - членов Евразийского экономического союза.</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Основными принципами приказа ^ 126н является выявление из предложенных товаров - продукции российского происхождения, включая производства фармацевтической субстанции, при этом положения Постановления ^ 1289 устанавливают ограничения допуска иностранных товаров, но не учитывают стадии производства синтеза молекулы лекарственного препарата, который в свою очередь подтверждается документом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Минпромторгом России в установленном им порядке.</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При этом, п. 1.4 Приказа ^ 126н так же уточнено исключительно, что положения настоящего подпункта не применяются при отсутствии участника закупки, заявка которого соответствует указанным условиям, таким образом, представляется возможным сделать вывод о том, что это единственный случай неприменения данного положения, вне зависимости от того, имелись ли заявки с иностранными препаратами или нет (применение или неприменение ограничения, предусмотренного Постановлением ^ 1289).</w:t>
      </w:r>
    </w:p>
    <w:p>
      <w:pPr>
        <w:pStyle w:val="Style18"/>
        <w:keepNext w:val="0"/>
        <w:keepLines w:val="0"/>
        <w:widowControl w:val="0"/>
        <w:shd w:val="clear" w:color="auto" w:fill="auto"/>
        <w:bidi w:val="0"/>
        <w:spacing w:before="0" w:after="0"/>
        <w:ind w:left="0" w:right="0"/>
        <w:jc w:val="both"/>
      </w:pPr>
      <w:r>
        <w:rPr>
          <w:color w:val="000000"/>
          <w:spacing w:val="0"/>
          <w:w w:val="100"/>
          <w:position w:val="0"/>
          <w:sz w:val="24"/>
          <w:szCs w:val="24"/>
          <w:shd w:val="clear" w:color="auto" w:fill="auto"/>
          <w:lang w:val="ru-RU" w:eastAsia="ru-RU" w:bidi="ru-RU"/>
        </w:rPr>
        <w:t xml:space="preserve">Обратное толкование п. 1.4 Приказа ^ 126н (что право на заключение контракта у участника, заявка которого соответствует условиям п. 1.4 Приказа ^ 126н появляется исключительно в случае наличия в составе заявок иных участников препаратов иностранного производства и отклонения таких заявок) очевидно лишено смысла, поскольку целью п. 1.4 Приказа ^ 126н является заключение контракта с участником, заявка которого соответствует всем условиям, в том числе условию о предложении к поставке препарата, все стадии </w:t>
      </w:r>
      <w:r>
        <w:rPr>
          <w:color w:val="000000"/>
          <w:spacing w:val="0"/>
          <w:w w:val="100"/>
          <w:position w:val="0"/>
          <w:sz w:val="24"/>
          <w:szCs w:val="24"/>
          <w:shd w:val="clear" w:color="auto" w:fill="auto"/>
          <w:lang w:val="ru-RU" w:eastAsia="ru-RU" w:bidi="ru-RU"/>
        </w:rPr>
        <w:t>производства которого, в том числе синтез молекулы действующего вещества при производстве фармацевтической субстанции, осуществляется на территориях государств - членов Евразийского экономического союза.</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пп."б"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пп."а" п. 1 ч. 5 ст. 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абз.1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Аналогичной позиции при разрешении жалоб придерживаются:</w:t>
      </w:r>
    </w:p>
    <w:p>
      <w:pPr>
        <w:pStyle w:val="Style18"/>
        <w:keepNext w:val="0"/>
        <w:keepLines w:val="0"/>
        <w:widowControl w:val="0"/>
        <w:numPr>
          <w:ilvl w:val="0"/>
          <w:numId w:val="1"/>
        </w:numPr>
        <w:shd w:val="clear" w:color="auto" w:fill="auto"/>
        <w:tabs>
          <w:tab w:pos="947" w:val="left"/>
        </w:tabs>
        <w:bidi w:val="0"/>
        <w:spacing w:before="0" w:after="0"/>
        <w:ind w:left="0" w:right="0"/>
        <w:jc w:val="both"/>
      </w:pPr>
      <w:r>
        <w:rPr>
          <w:color w:val="000000"/>
          <w:spacing w:val="0"/>
          <w:w w:val="100"/>
          <w:position w:val="0"/>
          <w:sz w:val="24"/>
          <w:szCs w:val="24"/>
          <w:shd w:val="clear" w:color="auto" w:fill="auto"/>
          <w:lang w:val="ru-RU" w:eastAsia="ru-RU" w:bidi="ru-RU"/>
        </w:rPr>
        <w:t>УФАС по г. Санкт-Петербург (Решение № 44-541/23 от 28.02.2023 г.)</w:t>
      </w:r>
    </w:p>
    <w:p>
      <w:pPr>
        <w:pStyle w:val="Style18"/>
        <w:keepNext w:val="0"/>
        <w:keepLines w:val="0"/>
        <w:widowControl w:val="0"/>
        <w:numPr>
          <w:ilvl w:val="0"/>
          <w:numId w:val="1"/>
        </w:numPr>
        <w:shd w:val="clear" w:color="auto" w:fill="auto"/>
        <w:tabs>
          <w:tab w:pos="947" w:val="left"/>
        </w:tabs>
        <w:bidi w:val="0"/>
        <w:spacing w:before="0" w:after="0"/>
        <w:ind w:left="0" w:right="0"/>
        <w:jc w:val="both"/>
      </w:pPr>
      <w:r>
        <w:rPr>
          <w:color w:val="000000"/>
          <w:spacing w:val="0"/>
          <w:w w:val="100"/>
          <w:position w:val="0"/>
          <w:sz w:val="24"/>
          <w:szCs w:val="24"/>
          <w:shd w:val="clear" w:color="auto" w:fill="auto"/>
          <w:lang w:val="ru-RU" w:eastAsia="ru-RU" w:bidi="ru-RU"/>
        </w:rPr>
        <w:t>УФАС по г. Москве (Решение № 077/06/106-2883/2023 от 03.03.2023г).</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Таким образом, предложение ООО «Медресурс» соответствует всем условиям, установленным п. 1.4 Приказа ^ 126н, ввиду чего ООО «Медресурс» должно было быть признано победителем аукциона...»</w:t>
      </w:r>
    </w:p>
    <w:p>
      <w:pPr>
        <w:pStyle w:val="Style18"/>
        <w:keepNext w:val="0"/>
        <w:keepLines w:val="0"/>
        <w:widowControl w:val="0"/>
        <w:shd w:val="clear" w:color="auto" w:fill="auto"/>
        <w:bidi w:val="0"/>
        <w:spacing w:before="0" w:after="0" w:line="269" w:lineRule="auto"/>
        <w:ind w:left="0" w:right="0" w:firstLine="760"/>
        <w:jc w:val="both"/>
      </w:pPr>
      <w:r>
        <w:rPr>
          <w:i w:val="0"/>
          <w:iCs w:val="0"/>
          <w:color w:val="000000"/>
          <w:spacing w:val="0"/>
          <w:w w:val="100"/>
          <w:position w:val="0"/>
          <w:sz w:val="28"/>
          <w:szCs w:val="28"/>
          <w:shd w:val="clear" w:color="auto" w:fill="auto"/>
          <w:lang w:val="ru-RU" w:eastAsia="ru-RU" w:bidi="ru-RU"/>
        </w:rPr>
        <w:t xml:space="preserve">Заказчик с доводами жалобы не согласен, считает жалобу не подлежащей удовлетворению. В своих возражениях указал следующее: </w:t>
      </w:r>
      <w:r>
        <w:rPr>
          <w:color w:val="000000"/>
          <w:spacing w:val="0"/>
          <w:w w:val="100"/>
          <w:position w:val="0"/>
          <w:sz w:val="24"/>
          <w:szCs w:val="24"/>
          <w:shd w:val="clear" w:color="auto" w:fill="auto"/>
          <w:lang w:val="ru-RU" w:eastAsia="ru-RU" w:bidi="ru-RU"/>
        </w:rPr>
        <w:t>«.Заказчиком в извещении об осуществлении закупки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На участие в вышеуказанном аукционе было подано две заявки.</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представленным участниками закупки документам, к поставке предложены лекарственные препараты российского производства.</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 xml:space="preserve">Так, ООО «Медресурс» (идентификационный номер заявки 1) к поставке предложен лекарственный препарат «Трамадол» производства АО «Усолье-Сибирский химфармзавод», Россия, и представлены регистрационное удостоверение лекарственного препарата № ЛП- 006134, сертификат о происхождении товара формы СТ-1 № 0413984 от 29.06.2021, документ, содержащий сведения о стадиях технологического производства лекарственного средства № СП- 0001992/02/2023 от 06.02.2023, а также заключение о соответствии производителя (иностранного производителя) лекарственных средств для медицинского применения </w:t>
      </w:r>
      <w:r>
        <w:rPr>
          <w:color w:val="000000"/>
          <w:spacing w:val="0"/>
          <w:w w:val="100"/>
          <w:position w:val="0"/>
          <w:sz w:val="24"/>
          <w:szCs w:val="24"/>
          <w:shd w:val="clear" w:color="auto" w:fill="auto"/>
          <w:lang w:val="ru-RU" w:eastAsia="ru-RU" w:bidi="ru-RU"/>
        </w:rPr>
        <w:t>требованиям Правил надлежащей производственной практики № ( МР-0193-000531 20.</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ООО «Медфармальянс» (идентификационный номер заявки 2) к поставке предложен лекарственный препарат «Трамадол» производства АО «Органика», Россия, и представлено регистрационное удостоверение лекарственного препарата .Нп-№(00024~)-РТ-РР). а также сертификат о происхождении товара формы СТ-1 № 2715615 от 13.01.2023.</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24.04.2023 Комиссией Заказчика по осуществлению закупок были подведены итоги определения поставщика (подрядчика, исполнителя) и согласно протоколу № ИЭА1, обе заявки признаны соответствующими извещению об осуществлении закупки. Комиссия приняла решение признать победителем электронного аукциона участника с идентификационным номером 2, предложившего более низкую цену контракта 219 616,40 руб.</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При этом, преимущества участникам закупки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рассмотрении заявок на участие в аукционе № 0174500001123001566 Заказчиком не предоставлялись, поскольку в силу п. 2 Приказа № 126н, положения подп. 1.1-1.3 п. 1 настоящего приказа не применяются при проведении аукциона в электронной форме в случаях, если все заявки участников закупки, признанные в порядке, предусмотренном Федеральным законом №44-ФЗ, соответствующими требованиям извещения об осуществлении закупки, содержат предложения о поставке товаров, происходящих исключительно из государств - членов Евразийского экономического союза.</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Также, Заказчиком не применялись положения подп. 1.4 Приказа 126н, так как в соответствии с подп. 1.1 п.1 Постановления № 1289 условия допуска для целей осуществления закупок товаров, происходящих из иностранного государства или группы иностранных государств, установленные подп. 1.4 п. 1 Приказа № 126н, применяются только в случае отклонения заявок в порядке, установленном п.1 Постановления № 1289, - в случае отклонения заявок, содержащих предложения о поставке лекарственных препаратов, происходящих из иностранных государств.</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Заявок с предложением о поставке лекарственного препарата «Трамадол» иностранного производства на участие в аукционе № 0174500001123001566 подано не было. Все заявки содержали предложения о поставке товаров российского производства.</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Указанные в жалобе ООО «Медресурс» решения УФАС по г. Санкт- Петербургу и г. Москве не имеют преюдициального значения для рассмотрения данного дела, поскольку вынесены на основании иных конкретных обстоятельств дел и в отношении иных лиц.</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Так, в решении УФАС по г. Санкт-Петербургу от 28.02.2023 № 44-541/23 исследованию подлежала информация о документе, содержащем сведения о стадиях технологического производства лекарственного средства по форме СП.</w:t>
      </w:r>
    </w:p>
    <w:p>
      <w:pPr>
        <w:pStyle w:val="Style18"/>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решении УФАС по г. Москве от 03.03.2023 № 077/06/106-2883/2023 изложены обстоятельства дела, когда заказчиком были неверно применены положения Постановления № 1289 и к участию в аукционе были допущены заявки, содержащие предложения о поставке товаров российского и иностранного производства...».</w:t>
      </w:r>
    </w:p>
    <w:p>
      <w:pPr>
        <w:pStyle w:val="Style13"/>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Комиссия Управления, рассмотрев все имеющиеся в деле материалы и документы, доводы жалобы, изучив возражения Заказчика, установила следующее:</w:t>
      </w:r>
    </w:p>
    <w:p>
      <w:pPr>
        <w:pStyle w:val="Style13"/>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w:t>
      </w:r>
      <w:r>
        <w:rPr>
          <w:color w:val="000000"/>
          <w:spacing w:val="0"/>
          <w:w w:val="100"/>
          <w:position w:val="0"/>
          <w:shd w:val="clear" w:color="auto" w:fill="auto"/>
          <w:lang w:val="ru-RU" w:eastAsia="ru-RU" w:bidi="ru-RU"/>
        </w:rPr>
        <w:t>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пункта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12.04.2023 в Единой государственной системе закупок было размещено извещение о проведении электронного аукциона на поставку лекарственного(-ых) препарата(-ов) для медицинского применения для льготной категории граждан (Трамадол).</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 цена контракта установлена в размере 220 720,00 рублей.</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 доводам жалобы Заявитель считает, что Комиссия по осуществлению закупок Заказчика неверно определила победителя электронного аукциона, а именно, не применила положения Приказа Минфина № 126н и Постановления № 1289, установленные в извещении об осуществлении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На участие в электронном аукционе было подано две заявки. В соответствии с протоколом подведения итогов определения поставщика (подрядчика, исполнителя) извещение №0174500001123001566, обе заявки признаны соответствующими.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w:t>
      </w:r>
      <w:r>
        <w:rPr>
          <w:color w:val="000000"/>
          <w:spacing w:val="0"/>
          <w:w w:val="100"/>
          <w:position w:val="0"/>
          <w:shd w:val="clear" w:color="auto" w:fill="auto"/>
          <w:lang w:val="ru-RU" w:eastAsia="ru-RU" w:bidi="ru-RU"/>
        </w:rPr>
        <w:t>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numPr>
          <w:ilvl w:val="0"/>
          <w:numId w:val="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numPr>
          <w:ilvl w:val="0"/>
          <w:numId w:val="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1.1 Постановления № 1289 указано,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 а именно Приказ Минфина № 126н.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1.4 Приказа Минфина № 126н установлено, в случае отклонения заявок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13"/>
        <w:keepNext w:val="0"/>
        <w:keepLines w:val="0"/>
        <w:widowControl w:val="0"/>
        <w:numPr>
          <w:ilvl w:val="0"/>
          <w:numId w:val="5"/>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3"/>
        <w:keepNext w:val="0"/>
        <w:keepLines w:val="0"/>
        <w:widowControl w:val="0"/>
        <w:numPr>
          <w:ilvl w:val="0"/>
          <w:numId w:val="5"/>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Федеральным законом предусмотрена документация о закупке);</w:t>
      </w:r>
    </w:p>
    <w:p>
      <w:pPr>
        <w:pStyle w:val="Style13"/>
        <w:keepNext w:val="0"/>
        <w:keepLines w:val="0"/>
        <w:widowControl w:val="0"/>
        <w:numPr>
          <w:ilvl w:val="0"/>
          <w:numId w:val="5"/>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участником закупки предложена цена контракта, которая является </w:t>
      </w:r>
      <w:r>
        <w:rPr>
          <w:color w:val="000000"/>
          <w:spacing w:val="0"/>
          <w:w w:val="100"/>
          <w:position w:val="0"/>
          <w:shd w:val="clear" w:color="auto" w:fill="auto"/>
          <w:lang w:val="ru-RU" w:eastAsia="ru-RU" w:bidi="ru-RU"/>
        </w:rPr>
        <w:t>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13"/>
        <w:keepNext w:val="0"/>
        <w:keepLines w:val="0"/>
        <w:widowControl w:val="0"/>
        <w:numPr>
          <w:ilvl w:val="0"/>
          <w:numId w:val="5"/>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электронном аукционе на «Поставку лекарственного(-ых) препарата(-ов) для медицинского применения для льготной категории граждан (Трамадол)», извещение 0174500001123001566 оба участника предложили товар Российского происхождения, комиссией заказчика ни одна заявка не была отклонена в соответствии с пунктом 1 Постановления № 1289 и, следовательно, пункт 1.4 Приказа Минфина № 126н не применялся.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ООО «Медресурс» (идентификационный номер заявки 1) к поставке предложен лекарственный препарат «Трамадол» производства АО «Усолье- Сибирский химфармзавод», Россия, и представлены регистрационное удостоверение лекарственного препарата № ЛП-006134, сертификат о происхождении товара формы СТ-1 № 0413984 от 29.06.2021, документ, содержащий сведения о стадиях технологического производства лекарственного средства № СП-0001992/02/2023 от 06.02.2023, а также заключение о соответствии производителя (иностранного производителя) лекарственных средств для медицинского применения требованиям Правил надлежащей производственной практики № 0МР-0193-000531/20.</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«Медфармальянс» (идентификационный номер заявки 2) к поставке предложен лекарственный препарат «Трамадол» производства АО «Органика», Россия, и представлено регистрационное удостоверение лекарственного препарата Лп-№(000247)-РТ-КЦ), а также сертификат о происхождении товара формы СТ-1 № 2715615 от 13.01.2023.</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24.04.2023 Комиссией Заказчика по осуществлению закупок были подведены итоги определения поставщика (подрядчика, исполнителя) и согласно протоколу № ИЭА1, обе заявки признаны соответствующими извещению об осуществлении закупки. Комиссия приняла решение признать победителем электронного аукциона участника с идентификационным номером 2, предложившего более низкую цену контракта 219 616,40 руб.</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Проверка соответствия информации и документов заявки требованиям, установленным в извещении об осуществлении закупки, осуществляется комиссией по осуществлению закупок. При выявлении в документах заявки несоответствия информации и документов требованиям, установленным в извещении об осуществлении закупки, комиссия по осуществлению закупок отклоняет заявку такого участника по основаниям, предусмотренным частью 12 статьи 48 Закона о контрактной системе.</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Вместе с тем, Заявителем не представлено документальных подтверждений обоснованности доводов жалобы.</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правовой позиции Минфина России и ФАС России, изложенной в совместном письме от 25.08.2017 г. Ы 24-04-06/55025 и Ы РП/59080/17, ФАС России и его территориальные органы осуществляют контроль в сфере контрактной системы с момента размещения в ЕИС извещения о проведении электронного аукциона до момента заключения контракта.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Учитывая изложенное, Комиссия Управления приходит к выводу о том, что доводы Заявителя являются необоснованными.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Основания для признания жалобы обоснованной, выдачи предписания, передачи материалов жалобы для рассмотрения вопроса о дела об административном правонарушении отсутствуют. В рамках внеплановой проверки Комиссией Управления иных нарушений Закона о контрактной системе при проведении аукциона не выявлено</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3.33 Административного регламента установлено, что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r>
        <w:br w:type="page"/>
      </w:r>
    </w:p>
    <w:p>
      <w:pPr>
        <w:pStyle w:val="Style13"/>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«Медресурс» на действия Государственного казенного учреждения Севастополя «Медицинский склад № 1043» при проведении электронного аукциона на поставку лекарственного(-ых) препарата(-ов) для медицинского применения для льготной категории граждан (Трамадол), извещение №0174500001123001566, необоснованной.</w:t>
      </w:r>
    </w:p>
    <w:p>
      <w:pPr>
        <w:pStyle w:val="Style13"/>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2. Снять ограничения, установленные уведомлением Крымского УФАС России о принятии жалобы (реестровый номер в ЕИС № 202300100161010011) к рассмотрению.</w:t>
      </w:r>
    </w:p>
    <w:p>
      <w:pPr>
        <w:pStyle w:val="Style10"/>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bidi w:val="0"/>
        <w:spacing w:before="0" w:after="0" w:line="240" w:lineRule="auto"/>
        <w:ind w:left="0" w:right="0"/>
        <w:jc w:val="left"/>
      </w:pPr>
      <w:r>
        <w:rPr>
          <w:color w:val="000000"/>
          <w:spacing w:val="0"/>
          <w:w w:val="100"/>
          <w:position w:val="0"/>
          <w:shd w:val="clear" w:color="auto" w:fill="auto"/>
          <w:lang w:val="ru-RU" w:eastAsia="ru-RU" w:bidi="ru-RU"/>
        </w:rPr>
        <w:t>Дела об обжаловании решения контрольного органа в сфере закупок подведомственны арбитражному суду.</w:t>
      </w:r>
    </w:p>
    <w:p>
      <w:pPr>
        <w:pStyle w:val="Style10"/>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78" behindDoc="0" locked="0" layoutInCell="1" allowOverlap="1">
            <wp:simplePos x="0" y="0"/>
            <wp:positionH relativeFrom="page">
              <wp:posOffset>2745740</wp:posOffset>
            </wp:positionH>
            <wp:positionV relativeFrom="paragraph">
              <wp:posOffset>63500</wp:posOffset>
            </wp:positionV>
            <wp:extent cx="353695" cy="53657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3202940</wp:posOffset>
                </wp:positionH>
                <wp:positionV relativeFrom="paragraph">
                  <wp:posOffset>466090</wp:posOffset>
                </wp:positionV>
                <wp:extent cx="1280160" cy="103505"/>
                <wp:wrapNone/>
                <wp:docPr id="7" name="Shape 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3" type="#_x0000_t202" style="position:absolute;margin-left:252.20000000000002pt;margin-top:36.700000000000003pt;width:100.8pt;height:8.1500000000000004pt;z-index:251657729;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3160395</wp:posOffset>
                </wp:positionH>
                <wp:positionV relativeFrom="paragraph">
                  <wp:posOffset>154940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8.84999999999999pt;margin-top:12.200000000000001pt;width:135.59999999999999pt;height:20.150000000000002pt;z-index:251657731;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В.В. Мехтиев</w:t>
      </w:r>
    </w:p>
    <w:p>
      <w:pPr>
        <w:pStyle w:val="Style3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Мехтиев Вугар Вагифович</w:t>
      </w:r>
    </w:p>
    <w:p>
      <w:pPr>
        <w:pStyle w:val="Style3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009ЕВ786ЕВСВЕ866ВСЕ9В6875С73Е2650</w:t>
      </w:r>
      <w:r>
        <w:rPr>
          <w:spacing w:val="0"/>
          <w:w w:val="100"/>
          <w:position w:val="0"/>
          <w:shd w:val="clear" w:color="auto" w:fill="auto"/>
          <w:lang w:val="ru-RU" w:eastAsia="ru-RU" w:bidi="ru-RU"/>
        </w:rPr>
        <w:t>Е</w:t>
      </w:r>
    </w:p>
    <w:p>
      <w:pPr>
        <w:pStyle w:val="Style36"/>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07.04.2023 </w:t>
      </w:r>
      <w:r>
        <w:rPr>
          <w:color w:val="8B8B8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30.06.2024</w:t>
      </w:r>
    </w:p>
    <w:p>
      <w:pPr>
        <w:pStyle w:val="Style13"/>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79" behindDoc="0" locked="0" layoutInCell="1" allowOverlap="1">
            <wp:simplePos x="0" y="0"/>
            <wp:positionH relativeFrom="page">
              <wp:posOffset>2745740</wp:posOffset>
            </wp:positionH>
            <wp:positionV relativeFrom="paragraph">
              <wp:posOffset>63500</wp:posOffset>
            </wp:positionV>
            <wp:extent cx="353695" cy="536575"/>
            <wp:wrapSquare wrapText="righ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3202940</wp:posOffset>
                </wp:positionH>
                <wp:positionV relativeFrom="paragraph">
                  <wp:posOffset>466090</wp:posOffset>
                </wp:positionV>
                <wp:extent cx="1280160" cy="100330"/>
                <wp:wrapNone/>
                <wp:docPr id="13" name="Shape 1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52.20000000000002pt;margin-top:36.700000000000003pt;width:100.8pt;height:7.9000000000000004pt;z-index:251657733;mso-wrap-distance-left:0;mso-wrap-distance-right:0;mso-position-horizontal-relative:page" filled="f" stroked="f">
                <v:textbox inset="0,0,0,0">
                  <w:txbxContent>
                    <w:p>
                      <w:pPr>
                        <w:pStyle w:val="Style2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3160395</wp:posOffset>
                </wp:positionH>
                <wp:positionV relativeFrom="paragraph">
                  <wp:posOffset>151765</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8.84999999999999pt;margin-top:11.950000000000001pt;width:135.59999999999999pt;height:20.150000000000002pt;z-index:251657735;mso-wrap-distance-left:0;mso-wrap-distance-right:0;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Соловьева А.А.</w:t>
      </w:r>
    </w:p>
    <w:p>
      <w:pPr>
        <w:pStyle w:val="Style3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Соловьева Анастасия Алексеевна</w:t>
      </w:r>
    </w:p>
    <w:p>
      <w:pPr>
        <w:pStyle w:val="Style3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30В9ВА8Е99АЕЗС02037Е5573ЕЕ1681А9</w:t>
      </w:r>
    </w:p>
    <w:p>
      <w:pPr>
        <w:pStyle w:val="Style36"/>
        <w:keepNext w:val="0"/>
        <w:keepLines w:val="0"/>
        <w:widowControl w:val="0"/>
        <w:shd w:val="clear" w:color="auto" w:fill="auto"/>
        <w:bidi w:val="0"/>
        <w:spacing w:before="0" w:after="620" w:line="240" w:lineRule="auto"/>
        <w:ind w:right="0" w:firstLine="0"/>
        <w:jc w:val="left"/>
      </w:pPr>
      <w:r>
        <mc:AlternateContent>
          <mc:Choice Requires="wps">
            <w:drawing>
              <wp:anchor distT="0" distB="0" distL="114300" distR="114300" simplePos="0" relativeHeight="125829380" behindDoc="0" locked="0" layoutInCell="1" allowOverlap="1">
                <wp:simplePos x="0" y="0"/>
                <wp:positionH relativeFrom="page">
                  <wp:posOffset>6229985</wp:posOffset>
                </wp:positionH>
                <wp:positionV relativeFrom="paragraph">
                  <wp:posOffset>317500</wp:posOffset>
                </wp:positionV>
                <wp:extent cx="951230" cy="252730"/>
                <wp:wrapSquare wrapText="left"/>
                <wp:docPr id="17" name="Shape 17"/>
                <a:graphic xmlns:a="http://schemas.openxmlformats.org/drawingml/2006/main">
                  <a:graphicData uri="http://schemas.microsoft.com/office/word/2010/wordprocessingShape">
                    <wps:wsp>
                      <wps:cNvSpPr txBox="1"/>
                      <wps:spPr>
                        <a:xfrm>
                          <a:ext cx="951230"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Носова К.В.</w:t>
                            </w:r>
                          </w:p>
                        </w:txbxContent>
                      </wps:txbx>
                      <wps:bodyPr wrap="none" lIns="0" tIns="0" rIns="0" bIns="0">
                        <a:noAutoFit/>
                      </wps:bodyPr>
                    </wps:wsp>
                  </a:graphicData>
                </a:graphic>
              </wp:anchor>
            </w:drawing>
          </mc:Choice>
          <mc:Fallback>
            <w:pict>
              <v:shape id="_x0000_s1043" type="#_x0000_t202" style="position:absolute;margin-left:490.55000000000001pt;margin-top:25.pt;width:74.900000000000006pt;height:19.900000000000002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Носова К.В.</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22.04.2022 по 16.07.2023</w:t>
      </w:r>
    </w:p>
    <w:p>
      <w:pPr>
        <w:pStyle w:val="Style41"/>
        <w:keepNext w:val="0"/>
        <w:keepLines w:val="0"/>
        <w:widowControl w:val="0"/>
        <w:shd w:val="clear" w:color="auto" w:fill="auto"/>
        <w:bidi w:val="0"/>
        <w:spacing w:before="0" w:after="90" w:line="240" w:lineRule="auto"/>
        <w:ind w:right="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4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E7E7E7"/>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Носова Ксения Владимировна</w:t>
      </w:r>
    </w:p>
    <w:p>
      <w:pPr>
        <w:pStyle w:val="Style3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3260В524Е8А1АС876730ВСА9О0А26ВВА</w:t>
      </w:r>
    </w:p>
    <w:p>
      <w:pPr>
        <w:pStyle w:val="Style36"/>
        <w:keepNext w:val="0"/>
        <w:keepLines w:val="0"/>
        <w:widowControl w:val="0"/>
        <w:shd w:val="clear" w:color="auto" w:fill="auto"/>
        <w:bidi w:val="0"/>
        <w:spacing w:before="0" w:after="80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6F6F6F"/>
          <w:spacing w:val="0"/>
          <w:w w:val="100"/>
          <w:position w:val="0"/>
          <w:shd w:val="clear" w:color="auto" w:fill="auto"/>
          <w:lang w:val="ru-RU" w:eastAsia="ru-RU" w:bidi="ru-RU"/>
        </w:rPr>
        <w:t>11.10.2022 по 04.01.2024</w:t>
      </w:r>
    </w:p>
    <w:p>
      <w:pPr>
        <w:pStyle w:val="Style18"/>
        <w:keepNext w:val="0"/>
        <w:keepLines w:val="0"/>
        <w:widowControl w:val="0"/>
        <w:shd w:val="clear" w:color="auto" w:fill="auto"/>
        <w:bidi w:val="0"/>
        <w:spacing w:before="0" w:after="100" w:line="240"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Исп.Соловьева А.А. тел.вн. 092-106</w:t>
      </w:r>
    </w:p>
    <w:sectPr>
      <w:footnotePr>
        <w:pos w:val="pageBottom"/>
        <w:numFmt w:val="decimal"/>
        <w:numRestart w:val="continuous"/>
      </w:footnotePr>
      <w:type w:val="continuous"/>
      <w:pgSz w:w="11900" w:h="16840"/>
      <w:pgMar w:top="87" w:right="527" w:bottom="1207" w:left="107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10031095</wp:posOffset>
              </wp:positionV>
              <wp:extent cx="570230" cy="100330"/>
              <wp:wrapNone/>
              <wp:docPr id="1" name="Shape 1"/>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789.85000000000002pt;width:44.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0230" cy="100330"/>
              <wp:wrapNone/>
              <wp:docPr id="3" name="Shape 3"/>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2023-648</w:t>
                          </w:r>
                        </w:p>
                      </w:txbxContent>
                    </wps:txbx>
                    <wps:bodyPr wrap="none" lIns="0" tIns="0" rIns="0" bIns="0">
                      <a:spAutoFit/>
                    </wps:bodyPr>
                  </wps:wsp>
                </a:graphicData>
              </a:graphic>
            </wp:anchor>
          </w:drawing>
        </mc:Choice>
        <mc:Fallback>
          <w:pict>
            <v:shape id="_x0000_s1029" type="#_x0000_t202" style="position:absolute;margin-left:57.pt;margin-top:776.20000000000005pt;width:44.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8)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5)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Основной текст (2)_"/>
    <w:basedOn w:val="DefaultParagraphFont"/>
    <w:link w:val="Style18"/>
    <w:rPr>
      <w:rFonts w:ascii="Times New Roman" w:eastAsia="Times New Roman" w:hAnsi="Times New Roman" w:cs="Times New Roman"/>
      <w:b w:val="0"/>
      <w:bCs w:val="0"/>
      <w:i/>
      <w:iCs/>
      <w:smallCaps w:val="0"/>
      <w:strike w:val="0"/>
      <w:u w:val="none"/>
    </w:rPr>
  </w:style>
  <w:style w:type="character" w:customStyle="1" w:styleId="CharStyle24">
    <w:name w:val="Подпись к картинке_"/>
    <w:basedOn w:val="DefaultParagraphFont"/>
    <w:link w:val="Style23"/>
    <w:rPr>
      <w:rFonts w:ascii="Times New Roman" w:eastAsia="Times New Roman" w:hAnsi="Times New Roman" w:cs="Times New Roman"/>
      <w:b/>
      <w:bCs/>
      <w:i w:val="0"/>
      <w:iCs w:val="0"/>
      <w:smallCaps w:val="0"/>
      <w:strike w:val="0"/>
      <w:color w:val="212121"/>
      <w:sz w:val="11"/>
      <w:szCs w:val="11"/>
      <w:u w:val="none"/>
    </w:rPr>
  </w:style>
  <w:style w:type="character" w:customStyle="1" w:styleId="CharStyle31">
    <w:name w:val="Заголовок №1_"/>
    <w:basedOn w:val="DefaultParagraphFont"/>
    <w:link w:val="Style30"/>
    <w:rPr>
      <w:rFonts w:ascii="Times New Roman" w:eastAsia="Times New Roman" w:hAnsi="Times New Roman" w:cs="Times New Roman"/>
      <w:b w:val="0"/>
      <w:bCs w:val="0"/>
      <w:i w:val="0"/>
      <w:iCs w:val="0"/>
      <w:smallCaps w:val="0"/>
      <w:strike w:val="0"/>
      <w:sz w:val="28"/>
      <w:szCs w:val="28"/>
      <w:u w:val="none"/>
    </w:rPr>
  </w:style>
  <w:style w:type="character" w:customStyle="1" w:styleId="CharStyle33">
    <w:name w:val="Основной текст (7)_"/>
    <w:basedOn w:val="DefaultParagraphFont"/>
    <w:link w:val="Style32"/>
    <w:rPr>
      <w:rFonts w:ascii="Arial" w:eastAsia="Arial" w:hAnsi="Arial" w:cs="Arial"/>
      <w:b w:val="0"/>
      <w:bCs w:val="0"/>
      <w:i w:val="0"/>
      <w:iCs w:val="0"/>
      <w:smallCaps w:val="0"/>
      <w:strike w:val="0"/>
      <w:sz w:val="32"/>
      <w:szCs w:val="32"/>
      <w:u w:val="none"/>
    </w:rPr>
  </w:style>
  <w:style w:type="character" w:customStyle="1" w:styleId="CharStyle37">
    <w:name w:val="Основной текст (4)_"/>
    <w:basedOn w:val="DefaultParagraphFont"/>
    <w:link w:val="Style36"/>
    <w:rPr>
      <w:rFonts w:ascii="Arial" w:eastAsia="Arial" w:hAnsi="Arial" w:cs="Arial"/>
      <w:b w:val="0"/>
      <w:bCs w:val="0"/>
      <w:i w:val="0"/>
      <w:iCs w:val="0"/>
      <w:smallCaps w:val="0"/>
      <w:strike w:val="0"/>
      <w:color w:val="494949"/>
      <w:sz w:val="12"/>
      <w:szCs w:val="12"/>
      <w:u w:val="none"/>
    </w:rPr>
  </w:style>
  <w:style w:type="character" w:customStyle="1" w:styleId="CharStyle42">
    <w:name w:val="Основной текст (6)_"/>
    <w:basedOn w:val="DefaultParagraphFont"/>
    <w:link w:val="Style41"/>
    <w:rPr>
      <w:rFonts w:ascii="Times New Roman" w:eastAsia="Times New Roman" w:hAnsi="Times New Roman" w:cs="Times New Roman"/>
      <w:b/>
      <w:bCs/>
      <w:i w:val="0"/>
      <w:iCs w:val="0"/>
      <w:smallCaps w:val="0"/>
      <w:strike w:val="0"/>
      <w:color w:val="212121"/>
      <w:sz w:val="11"/>
      <w:szCs w:val="11"/>
      <w:u w:val="none"/>
    </w:rPr>
  </w:style>
  <w:style w:type="paragraph" w:customStyle="1" w:styleId="Style2">
    <w:name w:val="Основной текст (8)"/>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5)"/>
    <w:basedOn w:val="Normal"/>
    <w:link w:val="CharStyle8"/>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3)"/>
    <w:basedOn w:val="Normal"/>
    <w:link w:val="CharStyle11"/>
    <w:pPr>
      <w:widowControl w:val="0"/>
      <w:shd w:val="clear" w:color="auto" w:fill="auto"/>
      <w:spacing w:after="940"/>
      <w:ind w:firstLine="720"/>
    </w:pPr>
    <w:rPr>
      <w:rFonts w:ascii="Times New Roman" w:eastAsia="Times New Roman" w:hAnsi="Times New Roman" w:cs="Times New Roman"/>
      <w:b w:val="0"/>
      <w:bCs w:val="0"/>
      <w:i w:val="0"/>
      <w:iCs w:val="0"/>
      <w:smallCaps w:val="0"/>
      <w:strike w:val="0"/>
      <w:sz w:val="18"/>
      <w:szCs w:val="18"/>
      <w:u w:val="none"/>
    </w:rPr>
  </w:style>
  <w:style w:type="paragraph" w:customStyle="1" w:styleId="Style13">
    <w:name w:val="Основной текст"/>
    <w:basedOn w:val="Normal"/>
    <w:link w:val="CharStyle14"/>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Основной текст (2)"/>
    <w:basedOn w:val="Normal"/>
    <w:link w:val="CharStyle19"/>
    <w:pPr>
      <w:widowControl w:val="0"/>
      <w:shd w:val="clear" w:color="auto" w:fill="auto"/>
      <w:spacing w:line="276" w:lineRule="auto"/>
      <w:ind w:firstLine="740"/>
    </w:pPr>
    <w:rPr>
      <w:rFonts w:ascii="Times New Roman" w:eastAsia="Times New Roman" w:hAnsi="Times New Roman" w:cs="Times New Roman"/>
      <w:b w:val="0"/>
      <w:bCs w:val="0"/>
      <w:i/>
      <w:iCs/>
      <w:smallCaps w:val="0"/>
      <w:strike w:val="0"/>
      <w:u w:val="none"/>
    </w:rPr>
  </w:style>
  <w:style w:type="paragraph" w:customStyle="1" w:styleId="Style23">
    <w:name w:val="Подпись к картинке"/>
    <w:basedOn w:val="Normal"/>
    <w:link w:val="CharStyle24"/>
    <w:pPr>
      <w:widowControl w:val="0"/>
      <w:shd w:val="clear" w:color="auto" w:fill="auto"/>
    </w:pPr>
    <w:rPr>
      <w:rFonts w:ascii="Times New Roman" w:eastAsia="Times New Roman" w:hAnsi="Times New Roman" w:cs="Times New Roman"/>
      <w:b/>
      <w:bCs/>
      <w:i w:val="0"/>
      <w:iCs w:val="0"/>
      <w:smallCaps w:val="0"/>
      <w:strike w:val="0"/>
      <w:color w:val="212121"/>
      <w:sz w:val="11"/>
      <w:szCs w:val="11"/>
      <w:u w:val="none"/>
    </w:rPr>
  </w:style>
  <w:style w:type="paragraph" w:customStyle="1" w:styleId="Style30">
    <w:name w:val="Заголовок №1"/>
    <w:basedOn w:val="Normal"/>
    <w:link w:val="CharStyle31"/>
    <w:pPr>
      <w:widowControl w:val="0"/>
      <w:shd w:val="clear" w:color="auto" w:fill="auto"/>
      <w:spacing w:line="276" w:lineRule="auto"/>
      <w:jc w:val="center"/>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32">
    <w:name w:val="Основной текст (7)"/>
    <w:basedOn w:val="Normal"/>
    <w:link w:val="CharStyle33"/>
    <w:pPr>
      <w:widowControl w:val="0"/>
      <w:shd w:val="clear" w:color="auto" w:fill="auto"/>
      <w:spacing w:after="560"/>
    </w:pPr>
    <w:rPr>
      <w:rFonts w:ascii="Arial" w:eastAsia="Arial" w:hAnsi="Arial" w:cs="Arial"/>
      <w:b w:val="0"/>
      <w:bCs w:val="0"/>
      <w:i w:val="0"/>
      <w:iCs w:val="0"/>
      <w:smallCaps w:val="0"/>
      <w:strike w:val="0"/>
      <w:sz w:val="32"/>
      <w:szCs w:val="32"/>
      <w:u w:val="none"/>
    </w:rPr>
  </w:style>
  <w:style w:type="paragraph" w:customStyle="1" w:styleId="Style36">
    <w:name w:val="Основной текст (4)"/>
    <w:basedOn w:val="Normal"/>
    <w:link w:val="CharStyle37"/>
    <w:pPr>
      <w:widowControl w:val="0"/>
      <w:shd w:val="clear" w:color="auto" w:fill="auto"/>
      <w:ind w:left="3240"/>
    </w:pPr>
    <w:rPr>
      <w:rFonts w:ascii="Arial" w:eastAsia="Arial" w:hAnsi="Arial" w:cs="Arial"/>
      <w:b w:val="0"/>
      <w:bCs w:val="0"/>
      <w:i w:val="0"/>
      <w:iCs w:val="0"/>
      <w:smallCaps w:val="0"/>
      <w:strike w:val="0"/>
      <w:color w:val="494949"/>
      <w:sz w:val="12"/>
      <w:szCs w:val="12"/>
      <w:u w:val="none"/>
    </w:rPr>
  </w:style>
  <w:style w:type="paragraph" w:customStyle="1" w:styleId="Style41">
    <w:name w:val="Основной текст (6)"/>
    <w:basedOn w:val="Normal"/>
    <w:link w:val="CharStyle42"/>
    <w:pPr>
      <w:widowControl w:val="0"/>
      <w:shd w:val="clear" w:color="auto" w:fill="auto"/>
      <w:spacing w:after="100"/>
      <w:ind w:left="3880" w:firstLine="20"/>
    </w:pPr>
    <w:rPr>
      <w:rFonts w:ascii="Times New Roman" w:eastAsia="Times New Roman" w:hAnsi="Times New Roman" w:cs="Times New Roman"/>
      <w:b/>
      <w:bCs/>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