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99999999999999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ГБУЗ «ГКБ ИМ. М.П.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КОНЧАЛОВСКОГО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ЮгдБдЬ3@уапйех.ги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ООО «МЕДЛАБ»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0" w:line="240" w:lineRule="auto"/>
        <w:ind w:left="0" w:right="0" w:firstLine="70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1епйег1@тко{агтрегт.ги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077/06/106-НУ-5/2023 о нарушении</w:t>
        <w:br/>
        <w:t>законодательства о контрактной системе</w:t>
        <w:br/>
        <w:t>04.05.2023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Главного-специалиста 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ГБУЗ «ГКБ ИМ. М.П. КОНЧАЛОВСКОГО ДЗМ»,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ООО «МЕДЛАБ», уведомленных надлежащим образом о времени и порядке заседания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«МЕДЛАБ» (далее — Заявитель) на действия ГБУЗ «ГКБ ИМ. М.П. КОНЧАЛОВСКОГО ДЗМ» (далее — Заказчик) при проведении электронного аукциона на право заключения государственного контракта на поставку пробирок вакуумных с активатором свертывания и разделительным гелем для нужд ГБУЗ «ГКБ им. М.П. Кончаловского ДЗМ (Закупка № 0373200063123000291) (далее - аукцион) в соответствии с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технической части закупочной документации Заказчиком установлены неправомерные требования к товарам по п. «Пробирка вакуумная для взятия образцов крови ИВД, с активатором свертывания и разделительным гелем»: «Резьбовая крышка», поскольку, по мнению Заявителя, наличие такой характеристики существенно ограничивает количество участников закупочной процедуры, что подтверждается позицией ФАС России отраженной в письме от 17.06.2015 №ИА/29987/15.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оспариваемая характеристика не предусмотрена используемыми Заказчиком позициями каталога товаров работ и услуг (далее — КТРУ) №32.50.50.000-00001029 и №32.50.50.000-00002279, в соответствии с постановлением Правительства Российской Федерации от 08.02.2017 № 145, которым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 график закупок, извещение об осуществлении закупки, приглашение и документацию о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«г» и «е» - «з» п.10 Правил формирования КТРУ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п.6 Правил использования КТРУ в случае предоставления иной и дополнительной информации, предусмотренной пунктом 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доводом жалобы представитель Заказчика указал, что оспариваемое требование установлено в соответствии с потребностью медицинского учреждения в исполнении своей хозяйственной деятельности, в частности обеспечение безопасности работы медицинского персонала.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представитель Заказчика пояснил, что пробирка с резьбой обладает рядом преимуществ, в том числе обеспечивает возможность надлежащего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повторного закрытия пробирки после аликвотирования части образца для различных ислеований, обеспечение безопасности биоматериала при транспортировки в первичных пробирках а также, практически полностью исключает образование аэрозольного эффекта и д.р., при этом требованиям технической части закупочной документации соответствует продукция ряда производителей, в том числе «Асй-Гте» (ООО «Гранат Био Тех», УасиеПе (Огетег Вю-Опе) и 8-МопоVей (8АК8ТЕ^Т АО&amp;Со).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также указал на наличие обоснования применения дополнительных характеристик, не предусмотренных позицией КТРУ, в соответствии с положениями п.6 Правил использования КТРУ, а именно: «для разделения потоков в КДЛ».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письме ФАС Росии 17.06.2015 №ИА/29987/15 изложена позиции в отношении вакуумных систем забора крови, тогда как объектом рассматриваемой процедуры является «Пробирка вакуумная для взятия образцов крови ИВД, с активатором свертывания и разделительным гелем».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однако в составе жалобы не представлено документов и сведений, свидетельствующих о неправомерности действий Заказчика в части установления вышеуказанных положений закупочной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отмечает,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контрактной системе не содержит норм, ограничивающих право Заказчика включать в закупку требования к объекту закупки, которые являются для него значимыми, и, обязывающих Заказчика устанавливать в извещении такие требования к характеристикам объекта закупки, вопреки его потребностям.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 на заседании Комиссии Управления Заявителем не представлено надлежащих документов и сведений, свидетельствующих о невозможности формирования заявки в соответствии с требованиями закупочной документации, поскольку исходя из представленных Заявителем материалов не представляется возможным также сделать однозначный вывод о неисполнимости сформированных положений, а также ограничений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количества участников закупки с учетом возможности поставки товаров различных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необоснованности вышеуказанного довода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«МЕДЛАБ» на действия ГБУЗ «ГКБ ИМ. М.П. КОНЧАЛОВСКОГО ДЗМ»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 путем проведения аукционов, наложенные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006" w:val="left"/>
        </w:tabs>
        <w:bidi w:val="0"/>
        <w:spacing w:before="0" w:after="106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Председательствующий</w:t>
        <w:tab/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0" w:right="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М.О. 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0" w:line="240" w:lineRule="auto"/>
        <w:ind w:left="0" w:right="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Н.А. Узкий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pgSz w:w="11900" w:h="16840"/>
      <w:pgMar w:top="1105" w:right="1106" w:bottom="972" w:left="1102" w:header="677" w:footer="54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