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pgSz w:w="11900" w:h="16840"/>
          <w:pgMar w:top="298" w:right="1102" w:bottom="1053" w:left="1107" w:header="0" w:footer="625" w:gutter="0"/>
          <w:pgNumType w:start="1"/>
          <w:cols w:space="720"/>
          <w:noEndnote/>
          <w:rtlGutter w:val="0"/>
          <w:docGrid w:linePitch="360"/>
        </w:sectPr>
      </w:pPr>
    </w:p>
    <w:p>
      <w:pPr>
        <w:pStyle w:val="Style4"/>
        <w:keepNext w:val="0"/>
        <w:keepLines w:val="0"/>
        <w:widowControl w:val="0"/>
        <w:shd w:val="clear" w:color="auto" w:fill="auto"/>
        <w:bidi w:val="0"/>
        <w:spacing w:before="0" w:after="180" w:line="259" w:lineRule="auto"/>
        <w:ind w:left="500" w:right="0" w:firstLine="880"/>
        <w:jc w:val="both"/>
      </w:pPr>
      <w:r>
        <mc:AlternateContent>
          <mc:Choice Requires="wps">
            <w:drawing>
              <wp:anchor distT="0" distB="0" distL="114300" distR="114300" simplePos="0" relativeHeight="125829378" behindDoc="0" locked="0" layoutInCell="1" allowOverlap="1">
                <wp:simplePos x="0" y="0"/>
                <wp:positionH relativeFrom="page">
                  <wp:posOffset>3741420</wp:posOffset>
                </wp:positionH>
                <wp:positionV relativeFrom="paragraph">
                  <wp:posOffset>114300</wp:posOffset>
                </wp:positionV>
                <wp:extent cx="1776730" cy="1478280"/>
                <wp:wrapSquare wrapText="left"/>
                <wp:docPr id="3" name="Shape 3"/>
                <a:graphic xmlns:a="http://schemas.openxmlformats.org/drawingml/2006/main">
                  <a:graphicData uri="http://schemas.microsoft.com/office/word/2010/wordprocessingShape">
                    <wps:wsp>
                      <wps:cNvSpPr txBox="1"/>
                      <wps:spPr>
                        <a:xfrm>
                          <a:ext cx="1776730" cy="147828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«ПКБ № 1 ДЗМ»</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р1&lt;Ь1@/с1гаУ.1ПОАП1</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«ТТТ»</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1359@3234.ги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4.60000000000002pt;margin-top:9.pt;width:139.90000000000001pt;height:116.4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«ПКБ № 1 ДЗМ»</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р1&lt;Ь1@/с1гаУ.1ПОАП1</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«ТТТ»</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1359@3234.ги</w:t>
                      </w:r>
                    </w:p>
                  </w:txbxContent>
                </v:textbox>
                <w10:wrap type="square" side="left" anchorx="page"/>
              </v:shape>
            </w:pict>
          </mc:Fallback>
        </mc:AlternateContent>
      </w:r>
      <w:r>
        <w:rPr>
          <w:b/>
          <w:bCs/>
          <w:spacing w:val="0"/>
          <w:w w:val="100"/>
          <w:position w:val="0"/>
          <w:shd w:val="clear" w:color="auto" w:fill="auto"/>
          <w:lang w:val="ru-RU" w:eastAsia="ru-RU" w:bidi="ru-RU"/>
        </w:rPr>
        <w:t>ФЕДЕРАЛЬНАЯ АНТИМОНОПОЛЬНАЯ СЛУЖБА</w:t>
      </w:r>
    </w:p>
    <w:p>
      <w:pPr>
        <w:pStyle w:val="Style4"/>
        <w:keepNext w:val="0"/>
        <w:keepLines w:val="0"/>
        <w:widowControl w:val="0"/>
        <w:shd w:val="clear" w:color="auto" w:fill="auto"/>
        <w:bidi w:val="0"/>
        <w:spacing w:before="0" w:line="240" w:lineRule="auto"/>
        <w:ind w:left="1320" w:right="0" w:firstLine="0"/>
        <w:jc w:val="both"/>
      </w:pPr>
      <w:r>
        <w:rPr>
          <w:b/>
          <w:bCs/>
          <w:spacing w:val="0"/>
          <w:w w:val="100"/>
          <w:position w:val="0"/>
          <w:shd w:val="clear" w:color="auto" w:fill="auto"/>
          <w:lang w:val="ru-RU" w:eastAsia="ru-RU" w:bidi="ru-RU"/>
        </w:rPr>
        <w:t>УПРАВЛЕНИЕ</w:t>
      </w:r>
    </w:p>
    <w:p>
      <w:pPr>
        <w:pStyle w:val="Style4"/>
        <w:keepNext w:val="0"/>
        <w:keepLines w:val="0"/>
        <w:widowControl w:val="0"/>
        <w:shd w:val="clear" w:color="auto" w:fill="auto"/>
        <w:bidi w:val="0"/>
        <w:spacing w:before="0" w:after="180" w:line="240" w:lineRule="auto"/>
        <w:ind w:left="1560" w:right="0" w:firstLine="0"/>
        <w:jc w:val="both"/>
      </w:pPr>
      <w:r>
        <w:rPr>
          <w:b/>
          <w:bCs/>
          <w:spacing w:val="0"/>
          <w:w w:val="100"/>
          <w:position w:val="0"/>
          <w:shd w:val="clear" w:color="auto" w:fill="auto"/>
          <w:lang w:val="ru-RU" w:eastAsia="ru-RU" w:bidi="ru-RU"/>
        </w:rPr>
        <w:t>по г. Москве</w:t>
      </w:r>
    </w:p>
    <w:p>
      <w:pPr>
        <w:pStyle w:val="Style4"/>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4"/>
        <w:keepNext w:val="0"/>
        <w:keepLines w:val="0"/>
        <w:widowControl w:val="0"/>
        <w:shd w:val="clear" w:color="auto" w:fill="auto"/>
        <w:tabs>
          <w:tab w:leader="underscore" w:pos="1762"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4"/>
        <w:keepNext w:val="0"/>
        <w:keepLines w:val="0"/>
        <w:widowControl w:val="0"/>
        <w:shd w:val="clear" w:color="auto" w:fill="auto"/>
        <w:bidi w:val="0"/>
        <w:spacing w:before="0" w:after="1240" w:line="240" w:lineRule="auto"/>
        <w:ind w:left="0" w:right="0" w:firstLine="0"/>
        <w:jc w:val="both"/>
      </w:pPr>
      <w:r>
        <w:rPr>
          <w:spacing w:val="0"/>
          <w:w w:val="100"/>
          <w:position w:val="0"/>
          <w:shd w:val="clear" w:color="auto" w:fill="auto"/>
          <w:lang w:val="ru-RU" w:eastAsia="ru-RU" w:bidi="ru-RU"/>
        </w:rPr>
        <w:t xml:space="preserve">На№  от</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tabs>
          <w:tab w:pos="8390"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077/06/106-ИФ4/2023 о нарушении</w:t>
        <w:br/>
        <w:t>законодательства о контрактной системе</w:t>
        <w:br/>
        <w:t>04.05.2023</w:t>
        <w:tab/>
        <w:t>г. Москва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«ПКБ № 1 ДЗМ»: С.В. Малаховой (по доверенности № 45\23 от 05.04.2023),</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«ТТТ»: Р.В. Кантаева (по доверенности № 2/АС от 02.05.2023), Д.Н. Бахлицкого (по доверенности № 1/АС от 02.05.2023),</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«ТТТ» (далее — Заявитель) на действия ГБУЗ «ПКБ № 1 ДЗМ» (далее — Заказчик) при проведении электронного аукциона на право заключения государственного контракта на поставку уничтожителей документов (шредер) для оснащения стр. 20 и стр. 18 для нужд ГБУЗ «ПКБ №1 ДЗМ» в 2023 году (Закупка № 0373200032023000176) (далее - электронный аукцион, аукцион) в соответствии с Федеральным законом от 05.04.2013 №44-</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при проведении рассматриваемой закупочной процедуры Заказчиком неправомерно применены условия допуска в соответствии с положениями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что влечет за собой направление проекта государственного контракта на подписание победителю аукциона в лице ООО «ТТТ» с ценой контракта со снижением на 15 процентов от предложенной победителем.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18.04.2023 №ИЭА1 участник закупки ООО «ТТТ» признан победителем электронного аукциона.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На основании п.15 ч.1 ст.42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п.9.4 информационной карты указано на применение в рамках рассматриваемой закупки условий допуска товаров, происходящих из иностранного государства или группы иностранных государств, на основании положений приказа №126н.</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«а» п.1.3 приказа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1,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п.2 приказа №126н положения пп.1.1-.1.3 п.1 приказа №126н не применяются при проведении конкурса, аукциона, запроса котировок, запроса предложений в случаях, если:</w:t>
      </w:r>
    </w:p>
    <w:p>
      <w:pPr>
        <w:pStyle w:val="Style2"/>
        <w:keepNext w:val="0"/>
        <w:keepLines w:val="0"/>
        <w:widowControl w:val="0"/>
        <w:numPr>
          <w:ilvl w:val="0"/>
          <w:numId w:val="1"/>
        </w:numPr>
        <w:shd w:val="clear" w:color="auto" w:fill="auto"/>
        <w:tabs>
          <w:tab w:pos="104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 аукцион, запрос котировок, запрос предложений признается не состоявшимся в случаях, предусмотренных Законом о контрактной системе;</w:t>
      </w:r>
    </w:p>
    <w:p>
      <w:pPr>
        <w:pStyle w:val="Style2"/>
        <w:keepNext w:val="0"/>
        <w:keepLines w:val="0"/>
        <w:widowControl w:val="0"/>
        <w:numPr>
          <w:ilvl w:val="0"/>
          <w:numId w:val="1"/>
        </w:numPr>
        <w:shd w:val="clear" w:color="auto" w:fill="auto"/>
        <w:tabs>
          <w:tab w:pos="106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все заявки (окончательные предложения) участников закупки, признанные в порядке, предусмотренном Законом о контрактной системе, соответствующими требованиям документации о закупке, извещения о проведении запроса котировок, содержат предложения о поставке товаров, указанных в Приложении и происходящих исключительно из государств - членов Евразийского экономического союза;</w:t>
      </w:r>
    </w:p>
    <w:p>
      <w:pPr>
        <w:pStyle w:val="Style2"/>
        <w:keepNext w:val="0"/>
        <w:keepLines w:val="0"/>
        <w:widowControl w:val="0"/>
        <w:numPr>
          <w:ilvl w:val="0"/>
          <w:numId w:val="1"/>
        </w:numPr>
        <w:shd w:val="clear" w:color="auto" w:fill="auto"/>
        <w:tabs>
          <w:tab w:pos="10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все заявки (окончательные предложения) участников закупки, признанные в порядке, предусмотренном Законом о контрактной системе, соответствующими требованиям документации о закупке, извещения о проведении запроса котировок, содержат предложение о поставке указанных в Приложении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п.1.6 приказа №126н </w:t>
      </w:r>
      <w:r>
        <w:rPr>
          <w:b/>
          <w:bCs/>
          <w:color w:val="000000"/>
          <w:spacing w:val="0"/>
          <w:w w:val="100"/>
          <w:position w:val="0"/>
          <w:shd w:val="clear" w:color="auto" w:fill="auto"/>
          <w:lang w:val="ru-RU" w:eastAsia="ru-RU" w:bidi="ru-RU"/>
        </w:rPr>
        <w:t xml:space="preserve">подтверждением страны происхождения товаров, указанных в Приложении, является указание (декларирование) участником закупки в заявке </w:t>
      </w:r>
      <w:r>
        <w:rPr>
          <w:color w:val="000000"/>
          <w:spacing w:val="0"/>
          <w:w w:val="100"/>
          <w:position w:val="0"/>
          <w:shd w:val="clear" w:color="auto" w:fill="auto"/>
          <w:lang w:val="ru-RU" w:eastAsia="ru-RU" w:bidi="ru-RU"/>
        </w:rPr>
        <w:t>в соответствии с Законом о контрактной системе наименования страны происхождения товара.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3"/>
        </w:numPr>
        <w:shd w:val="clear" w:color="auto" w:fill="auto"/>
        <w:tabs>
          <w:tab w:pos="105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2"/>
        <w:keepNext w:val="0"/>
        <w:keepLines w:val="0"/>
        <w:widowControl w:val="0"/>
        <w:numPr>
          <w:ilvl w:val="0"/>
          <w:numId w:val="5"/>
        </w:numPr>
        <w:shd w:val="clear" w:color="auto" w:fill="auto"/>
        <w:tabs>
          <w:tab w:pos="105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w:t>
      </w:r>
      <w:r>
        <w:rPr>
          <w:color w:val="000000"/>
          <w:spacing w:val="0"/>
          <w:w w:val="100"/>
          <w:position w:val="0"/>
          <w:shd w:val="clear" w:color="auto" w:fill="auto"/>
          <w:lang w:val="ru-RU" w:eastAsia="ru-RU" w:bidi="ru-RU"/>
        </w:rPr>
        <w:t>отклонении заявки на участие в закупке по основаниям, предусмотренным пунктами 1 - 8 части 12 статьи 48 Закона о контактной системе;</w:t>
      </w:r>
    </w:p>
    <w:p>
      <w:pPr>
        <w:pStyle w:val="Style2"/>
        <w:keepNext w:val="0"/>
        <w:keepLines w:val="0"/>
        <w:widowControl w:val="0"/>
        <w:numPr>
          <w:ilvl w:val="0"/>
          <w:numId w:val="5"/>
        </w:numPr>
        <w:shd w:val="clear" w:color="auto" w:fill="auto"/>
        <w:tabs>
          <w:tab w:pos="106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контактной системе.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Заказчиком, на этапе заключения государственного контракта неправомерно снижена цена контракта на основании положений приказа 126н, поскольку в рамках данной закупки не может быть предложен к поставке уничтожитель документов (шредер) российского происхождения (и/или из государств — членов Евразийского экономического союза), в связи с чем, по мнению Заявителя, нет необходимости применения Заказчиком условий допуска, предусмотренных пп. «а» п.1.3 приказа № 126н.</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w:t>
      </w:r>
      <w:r>
        <w:rPr>
          <w:color w:val="000000"/>
          <w:spacing w:val="0"/>
          <w:w w:val="100"/>
          <w:position w:val="0"/>
          <w:shd w:val="clear" w:color="auto" w:fill="auto"/>
          <w:lang w:val="ru-RU" w:eastAsia="ru-RU" w:bidi="ru-RU"/>
        </w:rPr>
        <w:t>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составе заявок участников закупки № 1,2,4,5,6,7 предложены к поставке товары, происходящие из иностранного государства — Китайская Народная Республика, при этом в составе заявки ООО «А4» (идентификационный номер заявки 3) продекларирована страна происхождения товаров: Российская Федерация, ввиду чего к ООО «ТТТ» применены условия допуска в соответствии с положениями приказа № 126н. Одновременно с этим представитель Заказчика пояснил, что в составе заявки ООО «А4» (идентификационный номер заявки 3) нет указания на конкретного производителя и товарный знак, что не позволяет однозначно утверждать то, что предложенные участником закупки товары не являются товарами российского происхождения (и/или из государств — членов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у аукционной комиссии имелись основания для применения п. 1.3 Приказа № 126н.</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а также на заседании Комиссии Управления представителем Заявителя не представлено документов и сведений, подтверждающих, что среди предложений участников аукциона, признанных участниками аукциона, нет предложений о поставке товаров российского происхождения (и/или из государств — членов Евразийского экономического союза), а также свидетельствующие о нарушении Заказчиком положений Закона о контрактной системе.</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решение Заказчика в части применения к победителю аукциона понижения предложенной цены контракта является правомерным и не противоречит требованиям приказа Приказа Минфина № 126н и Закона о контрактной системе.</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Исследовав представленные материалы, утвержденным приказом ФАС России от 19.11.2014 №727/14, Законом о контрактной системе, Комиссия Управления</w:t>
      </w:r>
      <w:r>
        <w:br w:type="page"/>
      </w:r>
    </w:p>
    <w:p>
      <w:pPr>
        <w:pStyle w:val="Style2"/>
        <w:keepNext w:val="0"/>
        <w:keepLines w:val="0"/>
        <w:widowControl w:val="0"/>
        <w:shd w:val="clear" w:color="auto" w:fill="auto"/>
        <w:bidi w:val="0"/>
        <w:spacing w:before="0" w:after="1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1. Признать жалобу ООО «ТТТ» на действия ГБУЗ «ПКБ № 1 ДЗМ» необоснованной.</w:t>
      </w:r>
    </w:p>
    <w:p>
      <w:pPr>
        <w:pStyle w:val="Style2"/>
        <w:keepNext w:val="0"/>
        <w:keepLines w:val="0"/>
        <w:widowControl w:val="0"/>
        <w:shd w:val="clear" w:color="auto" w:fill="auto"/>
        <w:bidi w:val="0"/>
        <w:spacing w:before="0" w:after="180" w:line="240" w:lineRule="auto"/>
        <w:ind w:left="0" w:right="0" w:firstLine="76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письмом Московского УФАС России.</w:t>
      </w:r>
    </w:p>
    <w:p>
      <w:pPr>
        <w:pStyle w:val="Style2"/>
        <w:keepNext w:val="0"/>
        <w:keepLines w:val="0"/>
        <w:widowControl w:val="0"/>
        <w:shd w:val="clear" w:color="auto" w:fill="auto"/>
        <w:bidi w:val="0"/>
        <w:spacing w:before="0" w:after="18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 суде г. Москвы в течение 3 (трех) месяцев с даты его принятия в порядке, установленном гл. 24 АПК РФ.</w:t>
      </w:r>
    </w:p>
    <w:p>
      <w:pPr>
        <w:pStyle w:val="Style2"/>
        <w:keepNext w:val="0"/>
        <w:keepLines w:val="0"/>
        <w:widowControl w:val="0"/>
        <w:shd w:val="clear" w:color="auto" w:fill="auto"/>
        <w:bidi w:val="0"/>
        <w:spacing w:before="0" w:after="18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5518785</wp:posOffset>
                </wp:positionH>
                <wp:positionV relativeFrom="paragraph">
                  <wp:posOffset>12700</wp:posOffset>
                </wp:positionV>
                <wp:extent cx="1316990" cy="603250"/>
                <wp:wrapSquare wrapText="left"/>
                <wp:docPr id="5" name="Shape 5"/>
                <a:graphic xmlns:a="http://schemas.openxmlformats.org/drawingml/2006/main">
                  <a:graphicData uri="http://schemas.microsoft.com/office/word/2010/wordprocessingShape">
                    <wps:wsp>
                      <wps:cNvSpPr txBox="1"/>
                      <wps:spPr>
                        <a:xfrm>
                          <a:ext cx="1316990" cy="603250"/>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right"/>
                            </w:pPr>
                            <w:r>
                              <w:rPr>
                                <w:color w:val="000000"/>
                                <w:spacing w:val="0"/>
                                <w:w w:val="100"/>
                                <w:position w:val="0"/>
                                <w:shd w:val="clear" w:color="auto" w:fill="auto"/>
                                <w:lang w:val="ru-RU" w:eastAsia="ru-RU" w:bidi="ru-RU"/>
                              </w:rPr>
                              <w:t>Е.А. Миронова</w:t>
                            </w:r>
                          </w:p>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А.А.Кутейников</w:t>
                            </w:r>
                          </w:p>
                        </w:txbxContent>
                      </wps:txbx>
                      <wps:bodyPr lIns="0" tIns="0" rIns="0" bIns="0">
                        <a:noAutoFit/>
                      </wps:bodyPr>
                    </wps:wsp>
                  </a:graphicData>
                </a:graphic>
              </wp:anchor>
            </w:drawing>
          </mc:Choice>
          <mc:Fallback>
            <w:pict>
              <v:shape id="_x0000_s1031" type="#_x0000_t202" style="position:absolute;margin-left:434.55000000000001pt;margin-top:1.pt;width:103.7pt;height:47.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right"/>
                      </w:pPr>
                      <w:r>
                        <w:rPr>
                          <w:color w:val="000000"/>
                          <w:spacing w:val="0"/>
                          <w:w w:val="100"/>
                          <w:position w:val="0"/>
                          <w:shd w:val="clear" w:color="auto" w:fill="auto"/>
                          <w:lang w:val="ru-RU" w:eastAsia="ru-RU" w:bidi="ru-RU"/>
                        </w:rPr>
                        <w:t>Е.А. Миронова</w:t>
                      </w:r>
                    </w:p>
                    <w:p>
                      <w:pPr>
                        <w:pStyle w:val="Style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А.А.Кутейников</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Председательствующий</w:t>
      </w:r>
    </w:p>
    <w:p>
      <w:pPr>
        <w:pStyle w:val="Style2"/>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742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Фурсиков И.И. тел.8 (495)784-75-05</w:t>
      </w:r>
    </w:p>
    <w:sectPr>
      <w:footnotePr>
        <w:pos w:val="pageBottom"/>
        <w:numFmt w:val="decimal"/>
        <w:numRestart w:val="continuous"/>
      </w:footnotePr>
      <w:type w:val="continuous"/>
      <w:pgSz w:w="11900" w:h="16840"/>
      <w:pgMar w:top="1103" w:right="1107" w:bottom="973" w:left="1102" w:header="0" w:footer="545"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2)"/>
    <w:basedOn w:val="Normal"/>
    <w:link w:val="CharStyle5"/>
    <w:pPr>
      <w:widowControl w:val="0"/>
      <w:shd w:val="clear" w:color="auto" w:fill="auto"/>
      <w:spacing w:after="260"/>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9">
    <w:name w:val="Основной текст (3)"/>
    <w:basedOn w:val="Normal"/>
    <w:link w:val="CharStyle10"/>
    <w:pPr>
      <w:widowControl w:val="0"/>
      <w:shd w:val="clear" w:color="auto" w:fill="auto"/>
      <w:spacing w:after="1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