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1771650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4109720</wp:posOffset>
                </wp:positionH>
                <wp:positionV relativeFrom="paragraph">
                  <wp:posOffset>609600</wp:posOffset>
                </wp:positionV>
                <wp:extent cx="1639570" cy="1069975"/>
                <wp:wrapSquare wrapText="left"/>
                <wp:docPr id="3" name="Shape 3"/>
                <a:graphic xmlns:a="http://schemas.openxmlformats.org/drawingml/2006/main">
                  <a:graphicData uri="http://schemas.microsoft.com/office/word/2010/wordprocessingShape">
                    <wps:wsp>
                      <wps:cNvSpPr txBox="1"/>
                      <wps:spPr>
                        <a:xfrm>
                          <a:ext cx="1639570" cy="1069975"/>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left"/>
                            </w:pPr>
                            <w:r>
                              <w:fldChar w:fldCharType="begin"/>
                            </w:r>
                            <w:r>
                              <w:rPr/>
                              <w:instrText> HYPERLINK "mailto:info@aemcx.ru" </w:instrText>
                            </w:r>
                            <w:r>
                              <w:fldChar w:fldCharType="separate"/>
                            </w:r>
                            <w:r>
                              <w:rPr>
                                <w:color w:val="000000"/>
                                <w:spacing w:val="0"/>
                                <w:w w:val="100"/>
                                <w:position w:val="0"/>
                                <w:shd w:val="clear" w:color="auto" w:fill="auto"/>
                                <w:lang w:val="ru-RU" w:eastAsia="ru-RU" w:bidi="ru-RU"/>
                              </w:rPr>
                              <w:t>т&amp;@аетсх.ги</w:t>
                            </w:r>
                            <w:r>
                              <w:fldChar w:fldCharType="end"/>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«Турэксперт»</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т&amp;@таКЪи-дгоир.ги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3.60000000000002pt;margin-top:48.pt;width:129.09999999999999pt;height:84.2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left"/>
                      </w:pPr>
                      <w:r>
                        <w:fldChar w:fldCharType="begin"/>
                      </w:r>
                      <w:r>
                        <w:rPr/>
                        <w:instrText> HYPERLINK "mailto:info@aemcx.ru" </w:instrText>
                      </w:r>
                      <w:r>
                        <w:fldChar w:fldCharType="separate"/>
                      </w:r>
                      <w:r>
                        <w:rPr>
                          <w:color w:val="000000"/>
                          <w:spacing w:val="0"/>
                          <w:w w:val="100"/>
                          <w:position w:val="0"/>
                          <w:shd w:val="clear" w:color="auto" w:fill="auto"/>
                          <w:lang w:val="ru-RU" w:eastAsia="ru-RU" w:bidi="ru-RU"/>
                        </w:rPr>
                        <w:t>т&amp;@аетсх.ги</w:t>
                      </w:r>
                      <w:r>
                        <w:fldChar w:fldCharType="end"/>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«Турэксперт»</w:t>
                      </w:r>
                    </w:p>
                    <w:p>
                      <w:pPr>
                        <w:pStyle w:val="Style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т&amp;@таКЪи-дгоир.ги</w:t>
                      </w:r>
                    </w:p>
                  </w:txbxContent>
                </v:textbox>
                <w10:wrap type="square" side="left" anchorx="page"/>
              </v:shape>
            </w:pict>
          </mc:Fallback>
        </mc:AlternateContent>
      </w:r>
    </w:p>
    <w:p>
      <w:pPr>
        <w:pStyle w:val="Style2"/>
        <w:keepNext w:val="0"/>
        <w:keepLines w:val="0"/>
        <w:widowControl w:val="0"/>
        <w:shd w:val="clear" w:color="auto" w:fill="auto"/>
        <w:bidi w:val="0"/>
        <w:spacing w:before="0" w:after="260" w:line="240" w:lineRule="auto"/>
        <w:ind w:left="0" w:right="2260" w:firstLine="0"/>
        <w:jc w:val="right"/>
      </w:pPr>
      <w:r>
        <w:rPr>
          <w:color w:val="000000"/>
          <w:spacing w:val="0"/>
          <w:w w:val="100"/>
          <w:position w:val="0"/>
          <w:shd w:val="clear" w:color="auto" w:fill="auto"/>
          <w:lang w:val="ru-RU" w:eastAsia="ru-RU" w:bidi="ru-RU"/>
        </w:rPr>
        <w:t>ФГБУ «Агроэкспорт»</w:t>
      </w:r>
    </w:p>
    <w:p>
      <w:pPr>
        <w:pStyle w:val="Style4"/>
        <w:keepNext w:val="0"/>
        <w:keepLines w:val="0"/>
        <w:widowControl w:val="0"/>
        <w:shd w:val="clear" w:color="auto" w:fill="auto"/>
        <w:bidi w:val="0"/>
        <w:spacing w:before="0" w:after="180" w:line="259" w:lineRule="auto"/>
        <w:ind w:left="500" w:right="0" w:firstLine="860"/>
        <w:jc w:val="both"/>
      </w:pPr>
      <w:r>
        <w:rPr>
          <w:b/>
          <w:bCs/>
          <w:spacing w:val="0"/>
          <w:w w:val="100"/>
          <w:position w:val="0"/>
          <w:shd w:val="clear" w:color="auto" w:fill="auto"/>
          <w:lang w:val="ru-RU" w:eastAsia="ru-RU" w:bidi="ru-RU"/>
        </w:rPr>
        <w:t>ФЕДЕРАЛЬНАЯ АНТИМОНОПОЛЬНАЯ СЛУЖБА</w:t>
      </w:r>
    </w:p>
    <w:p>
      <w:pPr>
        <w:pStyle w:val="Style4"/>
        <w:keepNext w:val="0"/>
        <w:keepLines w:val="0"/>
        <w:widowControl w:val="0"/>
        <w:shd w:val="clear" w:color="auto" w:fill="auto"/>
        <w:bidi w:val="0"/>
        <w:spacing w:before="0" w:line="240" w:lineRule="auto"/>
        <w:ind w:left="1320" w:right="0" w:firstLine="0"/>
        <w:jc w:val="left"/>
      </w:pPr>
      <w:r>
        <w:rPr>
          <w:b/>
          <w:bCs/>
          <w:spacing w:val="0"/>
          <w:w w:val="100"/>
          <w:position w:val="0"/>
          <w:shd w:val="clear" w:color="auto" w:fill="auto"/>
          <w:lang w:val="ru-RU" w:eastAsia="ru-RU" w:bidi="ru-RU"/>
        </w:rPr>
        <w:t>УПРАВЛЕНИЕ</w:t>
      </w:r>
    </w:p>
    <w:p>
      <w:pPr>
        <w:pStyle w:val="Style4"/>
        <w:keepNext w:val="0"/>
        <w:keepLines w:val="0"/>
        <w:widowControl w:val="0"/>
        <w:shd w:val="clear" w:color="auto" w:fill="auto"/>
        <w:bidi w:val="0"/>
        <w:spacing w:before="0" w:after="180" w:line="240" w:lineRule="auto"/>
        <w:ind w:left="1540" w:right="0" w:firstLine="0"/>
        <w:jc w:val="left"/>
      </w:pPr>
      <w:r>
        <w:rPr>
          <w:b/>
          <w:bCs/>
          <w:spacing w:val="0"/>
          <w:w w:val="100"/>
          <w:position w:val="0"/>
          <w:shd w:val="clear" w:color="auto" w:fill="auto"/>
          <w:lang w:val="ru-RU" w:eastAsia="ru-RU" w:bidi="ru-RU"/>
        </w:rPr>
        <w:t>по г. Москве</w:t>
      </w:r>
    </w:p>
    <w:p>
      <w:pPr>
        <w:pStyle w:val="Style4"/>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1о77@Га8.аоу.ги</w:t>
      </w:r>
    </w:p>
    <w:p>
      <w:pPr>
        <w:pStyle w:val="Style4"/>
        <w:keepNext w:val="0"/>
        <w:keepLines w:val="0"/>
        <w:widowControl w:val="0"/>
        <w:shd w:val="clear" w:color="auto" w:fill="auto"/>
        <w:tabs>
          <w:tab w:leader="underscore" w:pos="1766" w:val="left"/>
          <w:tab w:leader="underscore" w:pos="3926" w:val="left"/>
        </w:tabs>
        <w:bidi w:val="0"/>
        <w:spacing w:before="0" w:line="240" w:lineRule="auto"/>
        <w:ind w:left="0" w:right="0" w:firstLine="0"/>
        <w:jc w:val="left"/>
      </w:pPr>
      <w:r>
        <w:rPr>
          <w:spacing w:val="0"/>
          <w:w w:val="100"/>
          <w:position w:val="0"/>
          <w:shd w:val="clear" w:color="auto" w:fill="auto"/>
          <w:lang w:val="ru-RU" w:eastAsia="ru-RU" w:bidi="ru-RU"/>
        </w:rPr>
        <w:tab/>
        <w:t xml:space="preserve"> №</w:t>
        <w:tab/>
      </w:r>
    </w:p>
    <w:p>
      <w:pPr>
        <w:pStyle w:val="Style4"/>
        <w:keepNext w:val="0"/>
        <w:keepLines w:val="0"/>
        <w:widowControl w:val="0"/>
        <w:shd w:val="clear" w:color="auto" w:fill="auto"/>
        <w:bidi w:val="0"/>
        <w:spacing w:before="0" w:after="700" w:line="240" w:lineRule="auto"/>
        <w:ind w:left="0" w:right="0" w:firstLine="0"/>
        <w:jc w:val="left"/>
      </w:pPr>
      <w:r>
        <w:rPr>
          <w:spacing w:val="0"/>
          <w:w w:val="100"/>
          <w:position w:val="0"/>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tabs>
          <w:tab w:pos="8390" w:val="left"/>
        </w:tabs>
        <w:bidi w:val="0"/>
        <w:spacing w:before="0" w:after="0" w:line="240" w:lineRule="auto"/>
        <w:ind w:left="0" w:right="0" w:firstLine="2600"/>
        <w:jc w:val="left"/>
      </w:pPr>
      <w:r>
        <w:rPr>
          <w:b/>
          <w:bCs/>
          <w:color w:val="000000"/>
          <w:spacing w:val="0"/>
          <w:w w:val="100"/>
          <w:position w:val="0"/>
          <w:shd w:val="clear" w:color="auto" w:fill="auto"/>
          <w:lang w:val="ru-RU" w:eastAsia="ru-RU" w:bidi="ru-RU"/>
        </w:rPr>
        <w:t>по делу №077/06/106-5829/2023 о нарушении законодательства о контрактной системе 04.05.2023</w:t>
        <w:tab/>
        <w:t>г. Москва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Е.А. Мироновой,</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2"/>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при участии представителей: ООО «Турэксперт», ФГБУ «Агроэкспорт»,</w:t>
      </w:r>
    </w:p>
    <w:p>
      <w:pPr>
        <w:pStyle w:val="Style2"/>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 xml:space="preserve">рассмотрев жалобу ООО «Турэксперт» (далее — Заявитель) на действия ФГБУ «Агроэкспорт» (далее — Заказчик) при проведении открытого конкурса в электронной форме на право заключения государственного контракта на оказание услуг по организации и проведению деловой миссии с Исламской Республикой Иран (Закупка № 0373100130023000005) (далее — конкурс), в соответствии с Федеральным законом от 05.04.2013 №44-ФЗ «О контрактной системе в сфере </w:t>
      </w:r>
      <w:r>
        <w:rPr>
          <w:color w:val="000000"/>
          <w:spacing w:val="0"/>
          <w:w w:val="100"/>
          <w:position w:val="0"/>
          <w:shd w:val="clear" w:color="auto" w:fill="auto"/>
          <w:lang w:val="ru-RU" w:eastAsia="ru-RU" w:bidi="ru-RU"/>
        </w:rPr>
        <w:t>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конкурса.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на установление Заказчиком неправомерного порядка оценки заявок участников закупок по детализирующему показателю «Общая цена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ст.32 Закона о контрактной системе установлено, что для оценки заявок участников закупки заказчик использует следующие критерии:</w:t>
      </w:r>
    </w:p>
    <w:p>
      <w:pPr>
        <w:pStyle w:val="Style2"/>
        <w:keepNext w:val="0"/>
        <w:keepLines w:val="0"/>
        <w:widowControl w:val="0"/>
        <w:numPr>
          <w:ilvl w:val="0"/>
          <w:numId w:val="1"/>
        </w:numPr>
        <w:shd w:val="clear" w:color="auto" w:fill="auto"/>
        <w:tabs>
          <w:tab w:pos="10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2"/>
        <w:keepNext w:val="0"/>
        <w:keepLines w:val="0"/>
        <w:widowControl w:val="0"/>
        <w:numPr>
          <w:ilvl w:val="0"/>
          <w:numId w:val="1"/>
        </w:numPr>
        <w:shd w:val="clear" w:color="auto" w:fill="auto"/>
        <w:tabs>
          <w:tab w:pos="119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2"/>
        <w:keepNext w:val="0"/>
        <w:keepLines w:val="0"/>
        <w:widowControl w:val="0"/>
        <w:numPr>
          <w:ilvl w:val="0"/>
          <w:numId w:val="1"/>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2"/>
        <w:keepNext w:val="0"/>
        <w:keepLines w:val="0"/>
        <w:widowControl w:val="0"/>
        <w:numPr>
          <w:ilvl w:val="0"/>
          <w:numId w:val="1"/>
        </w:numPr>
        <w:shd w:val="clear" w:color="auto" w:fill="auto"/>
        <w:tabs>
          <w:tab w:pos="108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w:t>
      </w:r>
      <w:r>
        <w:rPr>
          <w:color w:val="000000"/>
          <w:spacing w:val="0"/>
          <w:w w:val="100"/>
          <w:position w:val="0"/>
          <w:shd w:val="clear" w:color="auto" w:fill="auto"/>
          <w:lang w:val="ru-RU" w:eastAsia="ru-RU" w:bidi="ru-RU"/>
        </w:rPr>
        <w:t>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2 ч.1 ст.32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Абз.1 п.1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Постановление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абз.1 п.2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2"/>
        <w:keepNext w:val="0"/>
        <w:keepLines w:val="0"/>
        <w:widowControl w:val="0"/>
        <w:numPr>
          <w:ilvl w:val="0"/>
          <w:numId w:val="3"/>
        </w:numPr>
        <w:shd w:val="clear" w:color="auto" w:fill="auto"/>
        <w:tabs>
          <w:tab w:pos="11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2"/>
        <w:keepNext w:val="0"/>
        <w:keepLines w:val="0"/>
        <w:widowControl w:val="0"/>
        <w:numPr>
          <w:ilvl w:val="0"/>
          <w:numId w:val="3"/>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2"/>
        <w:keepNext w:val="0"/>
        <w:keepLines w:val="0"/>
        <w:widowControl w:val="0"/>
        <w:numPr>
          <w:ilvl w:val="0"/>
          <w:numId w:val="3"/>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2"/>
        <w:keepNext w:val="0"/>
        <w:keepLines w:val="0"/>
        <w:widowControl w:val="0"/>
        <w:numPr>
          <w:ilvl w:val="0"/>
          <w:numId w:val="3"/>
        </w:numPr>
        <w:shd w:val="clear" w:color="auto" w:fill="auto"/>
        <w:tabs>
          <w:tab w:pos="109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2"/>
        <w:keepNext w:val="0"/>
        <w:keepLines w:val="0"/>
        <w:widowControl w:val="0"/>
        <w:numPr>
          <w:ilvl w:val="0"/>
          <w:numId w:val="3"/>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«а» п.28 Положения для оценки заявок по показателям оценки,</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пп.«в» п.28 Положения документом, предусмотренным приложением №1 к Положению (далее - порядок оценки),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Заказчиком установлен в том числе следующий порядок оценки заявок по детализирующему показателю «Общая цена исполненных участником закупки договоров»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Для оценки заявок на участие в открытом конкурсе в электронной форме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устанавливается один показатель: «наличие у участников закупки опыта работы, связанного с предметом контракта».</w:t>
      </w:r>
    </w:p>
    <w:p>
      <w:pPr>
        <w:pStyle w:val="Style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В рамках показателя «наличие у участников закупки опыта работы, связанного с предметом контракта» применяется один показатель, детализирующий показатель оценки: «общая цена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Под предметом договора (договоров), оцениваемого по детализирующему показателю, сопоставимым с предметом контракта, заключаемого по результатам определения поставщика (подрядчика, исполнителя) понимается оказание услуг (выполнение работ) по организации и проведению деловых миссий* за пределами территории Российской Федерации. К оценке принимаются исключительно исполненные договоры/контракты, при исполнении которых исполнителем (подрядчиком) исполнены требования об уплате неустоек (штрафов, пеней) (в случае начисления неустоек).</w:t>
      </w:r>
    </w:p>
    <w:p>
      <w:pPr>
        <w:pStyle w:val="Style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 Под деловой миссией понимается комплекс мероприятий, включающих в себя в том числе оснащение залов, зон и/или иных задействованных помещений для проведения деловой миссии, подбор зарубежных участников, организация и проведение двусторонних и/или многосторонних встреч за пределами территории Российской Федерации в очном формате, направленных на продвижение товаров (работ, услуг) на зарубежных рынках и заключение внешнеэкономических сделок, в том числе презентации продукции российских организаций потенциальным иностранным потребителям.</w:t>
      </w:r>
    </w:p>
    <w:p>
      <w:pPr>
        <w:pStyle w:val="Style2"/>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Перечень документов**, подтверждающих наличие у участника закупки опыта работы, связанного с предметом контракта:</w:t>
      </w:r>
    </w:p>
    <w:p>
      <w:pPr>
        <w:pStyle w:val="Style2"/>
        <w:keepNext w:val="0"/>
        <w:keepLines w:val="0"/>
        <w:widowControl w:val="0"/>
        <w:numPr>
          <w:ilvl w:val="0"/>
          <w:numId w:val="5"/>
        </w:numPr>
        <w:shd w:val="clear" w:color="auto" w:fill="auto"/>
        <w:tabs>
          <w:tab w:pos="1440"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исполненный договор/контракт (договоры контракты) на оказание услуг (выполнение работ) по организации и проведению деловых миссий за пределами территории Российской Федерации;</w:t>
      </w:r>
    </w:p>
    <w:p>
      <w:pPr>
        <w:pStyle w:val="Style2"/>
        <w:keepNext w:val="0"/>
        <w:keepLines w:val="0"/>
        <w:widowControl w:val="0"/>
        <w:numPr>
          <w:ilvl w:val="0"/>
          <w:numId w:val="5"/>
        </w:numPr>
        <w:shd w:val="clear" w:color="auto" w:fill="auto"/>
        <w:tabs>
          <w:tab w:pos="1440"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акт (акты) приемки оказанных услуг (выполненных работ), составленные при исполнении договора/контракта (договоров контрактов). Последний акт, составленный при исполнении договора/контракта, должен быть подписан не ранее чем за 5 лет до даты окончания срока подачи заявок на участие в открытом конкурсе в электронной форме.</w:t>
      </w:r>
    </w:p>
    <w:p>
      <w:pPr>
        <w:pStyle w:val="Style2"/>
        <w:keepNext w:val="0"/>
        <w:keepLines w:val="0"/>
        <w:widowControl w:val="0"/>
        <w:numPr>
          <w:ilvl w:val="0"/>
          <w:numId w:val="5"/>
        </w:numPr>
        <w:shd w:val="clear" w:color="auto" w:fill="auto"/>
        <w:tabs>
          <w:tab w:pos="1440"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 К оценке принимаются документы в случае их представления в заявке на участие в закупке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 Вместе с перечнем документов в составе заявки рекомендуется представить содержащую информацию о наличии у участника закупки опыта работы таблицу по форме «СВЕДЕНИЯ О КВАЛИФИКАЦИИ УЧАСТНИКА ЗАКУПКИ» (Приложение к порядку рассмотрения и оценки заявок на участие в конкурсе).</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Комиссия по осуществлению закупок оставляет за собой право проверить достоверность информации и сведений, содержащихся в перечне документов, представленных участником закупки.</w:t>
      </w:r>
    </w:p>
    <w:p>
      <w:pPr>
        <w:pStyle w:val="Style2"/>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Заказчиком установлено неправомерное условие сопоставимости представляемых к оценке участниками закупок контрактов (договоров), так в порядке оценке неправомерно указано, что сопоставимыми контрактами (договорами) являются контракты (договоры), связанные с организацией и проведением деловых миссий.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Заявитель указывает, что описание сопоставимых контрактов (договоров) вышеуказанным образом исключает возможность участников закупки представить к оценке контракты (договоры), в рамках которых осуществлялось оказание необходимых Заказчику услуг, не содержащих в наименовании таких контрактов (договоров) указания на проведение деловой миссии.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ч.1 ст.106 Закона о контрактной системе лица, права и законные интересы которых непосредственно затрагиваются в результате рассмотрения </w:t>
      </w:r>
      <w:r>
        <w:rPr>
          <w:color w:val="000000"/>
          <w:spacing w:val="0"/>
          <w:w w:val="100"/>
          <w:position w:val="0"/>
          <w:shd w:val="clear" w:color="auto" w:fill="auto"/>
          <w:lang w:val="ru-RU" w:eastAsia="ru-RU" w:bidi="ru-RU"/>
        </w:rPr>
        <w:t>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оспариваемые условия сопоставимости принимаемых к учету контрактов (договоров) установлены Заказчиком с учетом особенностей объекта закупки, при этом представитель Заказчика отметил, что в обжалуемом порядке оценке Заказчиком представлено развернутое определение используемого словосочетания «деловая миссия», ввиду чего при оценке заявок участников закупки к оценке будут приниматься все контракты (договоры), содержащие необходимый комплекс мероприятий.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указание в обжалуемых положениях порядка оценки слов «деловая миссия» не может ограничить участников закупочной процедуры в части представления к оценке контрактов (договоров), сопоставимых с предметом контракта.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Управления отмечает, что,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представителем Заявителя, а также в составе жалобы Заявителем, не представлено документов и сведений указывающих на нарушение Заказчиком положений Закона о контрактной системе при установлении оспариваемых положений порядка оценки, ввиду чего у Комиссии Управления отсутствуют правовые основания считать Заказчика нарушившим положения Закона контактной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p>
    <w:p>
      <w:pPr>
        <w:pStyle w:val="Style2"/>
        <w:keepNext w:val="0"/>
        <w:keepLines w:val="0"/>
        <w:widowControl w:val="0"/>
        <w:shd w:val="clear" w:color="auto" w:fill="auto"/>
        <w:bidi w:val="0"/>
        <w:spacing w:before="0" w:after="0" w:line="240" w:lineRule="auto"/>
        <w:ind w:left="0" w:right="0" w:firstLine="720"/>
        <w:jc w:val="both"/>
        <w:sectPr>
          <w:headerReference w:type="default" r:id="rId7"/>
          <w:headerReference w:type="first" r:id="rId8"/>
          <w:footnotePr>
            <w:pos w:val="pageBottom"/>
            <w:numFmt w:val="decimal"/>
            <w:numRestart w:val="continuous"/>
          </w:footnotePr>
          <w:pgSz w:w="11900" w:h="16840"/>
          <w:pgMar w:top="1666" w:right="542" w:bottom="1253" w:left="109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ООО «Турэксперт» на действия ФГБУ «Агроэкспорт» необоснованной.</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 Снять ограничения на определение поставщика (подрядчика, исполнителя), наложенные письмом Московского УФАС России.</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14"/>
        <w:keepNext/>
        <w:keepLines/>
        <w:widowControl w:val="0"/>
        <w:shd w:val="clear" w:color="auto" w:fill="auto"/>
        <w:bidi w:val="0"/>
        <w:spacing w:before="0" w:after="200" w:line="240" w:lineRule="auto"/>
        <w:ind w:left="0" w:firstLine="0"/>
        <w:jc w:val="right"/>
      </w:pPr>
      <w:r>
        <mc:AlternateContent>
          <mc:Choice Requires="wps">
            <w:drawing>
              <wp:anchor distT="0" distB="0" distL="114300" distR="114300" simplePos="0" relativeHeight="125829381" behindDoc="0" locked="0" layoutInCell="1" allowOverlap="1">
                <wp:simplePos x="0" y="0"/>
                <wp:positionH relativeFrom="page">
                  <wp:posOffset>705485</wp:posOffset>
                </wp:positionH>
                <wp:positionV relativeFrom="paragraph">
                  <wp:posOffset>12700</wp:posOffset>
                </wp:positionV>
                <wp:extent cx="1877695" cy="588010"/>
                <wp:wrapSquare wrapText="right"/>
                <wp:docPr id="7" name="Shape 7"/>
                <a:graphic xmlns:a="http://schemas.openxmlformats.org/drawingml/2006/main">
                  <a:graphicData uri="http://schemas.microsoft.com/office/word/2010/wordprocessingShape">
                    <wps:wsp>
                      <wps:cNvSpPr txBox="1"/>
                      <wps:spPr>
                        <a:xfrm>
                          <a:ext cx="1877695" cy="588010"/>
                        </a:xfrm>
                        <a:prstGeom prst="rect"/>
                        <a:noFill/>
                      </wps:spPr>
                      <wps:txbx>
                        <w:txbxContent>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3" type="#_x0000_t202" style="position:absolute;margin-left:55.550000000000004pt;margin-top:1.pt;width:147.84999999999999pt;height:46.300000000000004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bookmarkStart w:id="0" w:name="bookmark0"/>
      <w:r>
        <w:rPr>
          <w:color w:val="000000"/>
          <w:spacing w:val="0"/>
          <w:w w:val="100"/>
          <w:position w:val="0"/>
          <w:shd w:val="clear" w:color="auto" w:fill="auto"/>
          <w:lang w:val="ru-RU" w:eastAsia="ru-RU" w:bidi="ru-RU"/>
        </w:rPr>
        <w:t>Е.А. Миронова</w:t>
      </w:r>
      <w:bookmarkEnd w:id="0"/>
    </w:p>
    <w:p>
      <w:pPr>
        <w:pStyle w:val="Style14"/>
        <w:keepNext/>
        <w:keepLines/>
        <w:widowControl w:val="0"/>
        <w:shd w:val="clear" w:color="auto" w:fill="auto"/>
        <w:bidi w:val="0"/>
        <w:spacing w:before="0" w:line="240" w:lineRule="auto"/>
        <w:ind w:left="0" w:firstLine="0"/>
        <w:jc w:val="right"/>
      </w:pPr>
      <w:bookmarkStart w:id="2" w:name="bookmark2"/>
      <w:r>
        <w:rPr>
          <w:color w:val="000000"/>
          <w:spacing w:val="0"/>
          <w:w w:val="100"/>
          <w:position w:val="0"/>
          <w:shd w:val="clear" w:color="auto" w:fill="auto"/>
          <w:lang w:val="ru-RU" w:eastAsia="ru-RU" w:bidi="ru-RU"/>
        </w:rPr>
        <w:t>А.А. Кутейников</w:t>
      </w:r>
      <w:bookmarkEnd w:id="2"/>
    </w:p>
    <w:p>
      <w:pPr>
        <w:pStyle w:val="Style14"/>
        <w:keepNext/>
        <w:keepLines/>
        <w:widowControl w:val="0"/>
        <w:shd w:val="clear" w:color="auto" w:fill="auto"/>
        <w:bidi w:val="0"/>
        <w:spacing w:before="0" w:after="8360" w:line="240" w:lineRule="auto"/>
        <w:ind w:left="0" w:firstLine="0"/>
        <w:jc w:val="right"/>
      </w:pPr>
      <w:bookmarkStart w:id="4" w:name="bookmark4"/>
      <w:r>
        <w:rPr>
          <w:color w:val="000000"/>
          <w:spacing w:val="0"/>
          <w:w w:val="100"/>
          <w:position w:val="0"/>
          <w:shd w:val="clear" w:color="auto" w:fill="auto"/>
          <w:lang w:val="ru-RU" w:eastAsia="ru-RU" w:bidi="ru-RU"/>
        </w:rPr>
        <w:t>А.А. Матюшенко</w:t>
      </w:r>
      <w:bookmarkEnd w:id="4"/>
    </w:p>
    <w:p>
      <w:pPr>
        <w:pStyle w:val="Style4"/>
        <w:keepNext w:val="0"/>
        <w:keepLines w:val="0"/>
        <w:widowControl w:val="0"/>
        <w:shd w:val="clear" w:color="auto" w:fill="auto"/>
        <w:bidi w:val="0"/>
        <w:spacing w:before="0" w:after="28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Матюшенко А.А., 8(495) 784-75-05</w:t>
      </w:r>
    </w:p>
    <w:sectPr>
      <w:footnotePr>
        <w:pos w:val="pageBottom"/>
        <w:numFmt w:val="decimal"/>
        <w:numRestart w:val="continuous"/>
      </w:footnotePr>
      <w:pgSz w:w="11900" w:h="16840"/>
      <w:pgMar w:top="1662" w:right="560" w:bottom="1480" w:left="107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3740785</wp:posOffset>
              </wp:positionH>
              <wp:positionV relativeFrom="page">
                <wp:posOffset>762635</wp:posOffset>
              </wp:positionV>
              <wp:extent cx="60960" cy="100330"/>
              <wp:wrapNone/>
              <wp:docPr id="5" name="Shape 5"/>
              <a:graphic xmlns:a="http://schemas.openxmlformats.org/drawingml/2006/main">
                <a:graphicData uri="http://schemas.microsoft.com/office/word/2010/wordprocessingShape">
                  <wps:wsp>
                    <wps:cNvSpPr txBox="1"/>
                    <wps:spPr>
                      <a:xfrm>
                        <a:ext cx="6096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294.55000000000001pt;margin-top:60.050000000000004pt;width:4.7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Основной текст (2)_"/>
    <w:basedOn w:val="DefaultParagraphFont"/>
    <w:link w:val="Style4"/>
    <w:rPr>
      <w:rFonts w:ascii="Times New Roman" w:eastAsia="Times New Roman" w:hAnsi="Times New Roman" w:cs="Times New Roman"/>
      <w:b w:val="0"/>
      <w:bCs w:val="0"/>
      <w:i w:val="0"/>
      <w:iCs w:val="0"/>
      <w:smallCaps w:val="0"/>
      <w:strike w:val="0"/>
      <w:color w:val="415FA9"/>
      <w:sz w:val="19"/>
      <w:szCs w:val="19"/>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Основной текст (2)"/>
    <w:basedOn w:val="Normal"/>
    <w:link w:val="CharStyle5"/>
    <w:pPr>
      <w:widowControl w:val="0"/>
      <w:shd w:val="clear" w:color="auto" w:fill="auto"/>
      <w:spacing w:after="260"/>
    </w:pPr>
    <w:rPr>
      <w:rFonts w:ascii="Times New Roman" w:eastAsia="Times New Roman" w:hAnsi="Times New Roman" w:cs="Times New Roman"/>
      <w:b w:val="0"/>
      <w:bCs w:val="0"/>
      <w:i w:val="0"/>
      <w:iCs w:val="0"/>
      <w:smallCaps w:val="0"/>
      <w:strike w:val="0"/>
      <w:color w:val="415FA9"/>
      <w:sz w:val="19"/>
      <w:szCs w:val="19"/>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80"/>
      <w:ind w:right="700"/>
      <w:jc w:val="right"/>
      <w:outlineLvl w:val="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