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1761490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200000000000003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г.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хакирИ@сикш'е.то8.ги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«РСК»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сотрапуг8к@П81\ги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«КИВИ Банк»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Ьа11кдап1111@с]1\\'1.сот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02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№077/06/106-5854/2023 о нарушении</w:t>
        <w:br/>
        <w:t>законодательства о контрактной системе</w:t>
        <w:br/>
        <w:t>04.05.2023</w:t>
        <w:tab/>
        <w:t>г.Москва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видеоконференц</w:t>
        <w:softHyphen/>
        <w:t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2019-пСоV.,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«РСК», ГКУ «Технический центр Департамента культуры г. Москвы»,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«РСК» (далее — Заявитель) на действия ГКУ «Технический центр Департамента культуры г. Москвы» (далее — Заказчик) при проведении открытых конкурсов в электронной форме на право заключения государственных контрактов на выполнение работ по текущему ремонту помещений ГБУК г. Москвы «ОКЦ СВАО» (Закупки № 0373200138223000091,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0373200138223000092, 0373200138223000093, 0373200138223000094) (далее — конкурсы),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комиссий по осуществлению закупок Заказчика при проведении конкурсов.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комиссиями по осуществлению закупок Заказчика нарушены нормы Закона о контрактной системе в результате отклонения заявок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3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протоколам рассмотрения и оценки вторых частей заявок на участие в открытых конкурсах в электронной форме заявки ООО «РСК», с идентификационными номерами 39165, по закупочной процедуре № 0373200138223000091,</w:t>
        <w:tab/>
        <w:t>39776, по закупочной процедуре №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5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0373200138223000092,</w:t>
        <w:tab/>
        <w:t>39869, по закупочной процедуре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7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№0373200138223000093,</w:t>
        <w:tab/>
        <w:t>37928, по закупочной процедуре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№0373200138223000094, отклонены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8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заявка участника отклонена в связи с выявлением недостоверной информации, содержащейся в заявке на участие в закупке: Участником закупки в составе заявки представлена недостоверная информация о стоимости выполненных работ, что не соответствует данным бухгалтерского баланса о выручке участника за 2019, 2021гг. п.7 ч.12 ст.48 №44-ФЗ «Отказ в принятии гарантии согласно ч.6 ст.45 Закона №44-ФЗ», п.8 ч.12 ст.48 №44-ФЗ «Выявление недостоверной информации, содержащейся в заявке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П.4 ч.2 ст.42 Закона о контрактной системе установлено, что извещение об осуществлении закупки, если иное не предусмотрено Законом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в составе извещений Заказчиком установлен порядок оценки заявок участников закупки, в том числе по показателю «Общая цена исполненных участником закупки договоров»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 «в» п.2, п.5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ч.1.1,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информации и документов, предусмотренных п.5 ч.1 ст.43 настоящего Федерального закона,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К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3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комиссией по осуществлению закупок Заказчика отклонены заявки Заявителя, так как в составе заявок участника закупки представлены сведения о 26 контрактах за период с 2019 по 2022 гг. на сумму 338 014 619.98 руб, в то время как по информации Федеральной налоговой службы, размещенной в Государственном информационном ресурсе бухгалтерской (финансовой) отчетности сумма выручки участника за 2019 по 2022 гг. составила 331 657 000.00 руб, что указывает на недостоверность сведений представленных в составе заявок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своей позиции представитель Заказчика представил на обозрение Комиссии информацию из Государственного информационного ресурса бухгалтерской (финансовой) отчетности (ресурса БФО).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ст.9 Федерального закона от 06.12.2011 № 402-ФЗ «О бухгалтерском учете» (далее - Закон о бухгалтерском учете) каждый факт хозяйственной жизни подлежит оформлению первичным учетным документом. Не допускается принятие к бухгалтерскому учету документов, которыми оформляются не имевшие места факты хозяйственной жизни, в том числе лежащие в основе мнимых и притворных сделок.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 Закона о бухгалтерском учете, содержащиеся в первичных учетных документах, подлежат своевременной регистрации и накоплению в регистрах бухгалтерского учета.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ч.1 ст.13 Закона о бухгалтерском учете бухгалтерская (финансовая) отчетность должна давать достоверное представление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необходимое пользователям этой отчетности для принятия экономических решений. Бухгалтерская (финансовая) отчетность должна составляться на основе данных, содержащихся в регистрах бухгалтерского учета, а также информации, определенной федеральными и отраслевыми стандартами.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ст.14 Закона о бухгалтерском учете годовая бухгалтерская (финансовая) отчетность, за исключением случаев, установленных Законом о бухгалтерском учете, состоит из бухгалтерского баланса, отчета о финансовых результатах и приложений к ним.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ч.9</w:t>
        <w:tab/>
        <w:t>ст.18 Закона о бухгалтерском учете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заинтересованным лицам обеспечивается доступ к информации, содержащейся в государственном информационном ресурсе. Правительство Российской Федерации вправе определить случаи, в которых доступ к указанной информации может быть ограничен, а также порядок ограничения и возобновления такого доступа. В случаях, определенных Правительством Российской Федерации, ограничение или возобновление доступа к такой информации осуществляется федеральным органом исполнительной власти, уполномоченным по контролю и надзору в области налогов и сборов, по заявлению организации, доступ к информации о которой ограничивается или возобновляется. Указанное заявление представляется в федеральный орган исполнительной власти, уполномоченный по контролю и надзору в области налогов и сборов, по форме, формату и в порядке, которые утверждаются этим органом. Указанная информация, доступ к которой ограничен в соответствии с настоящей частью, может быть предоставлена исключительно органам государственной власти, иным государственным органам, органам местного самоуправления, государственным внебюджетным фондам и Центральному банку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ст.102 Налогового кодекса Российской Федерации налоговую тайну составляют любые полученные налоговым органом, органами внутренних дел, следственными органами, органом государственного внебюджетного фонда и таможенным органом сведения о налогоплательщике, плательщике страховых взносов, за исключением сведений, о суммах доходов и расходов по данным бухгалтерской (финансовой) отчетности организации за год, предшествующий году размещения указанных сведений в информационно-телекоммуникационной сети «Интернет».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3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</w:t>
        <w:tab/>
        <w:t>ст.18 Закона о бухгалтерском учете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государственный информационный ресурс формируется и ведется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органом исполнительной власти, уполномоченным по контролю и надзору в области налогов и сборов.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юридическая значимость бухгалтерской отчетности, полученной из государственного информационного ресурса и заверенной электронной подписью Федеральной налоговой службой, приравнивается к значимости документа на бумажном носителе.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каждый факт хозяйственной деятельности, в том числе по результатам исполнения контрактов, подлежит отражению в годовой бухгалтерской отчетности, сведения о которой находятся в государственном информационном ресурсе.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сумма исполненных контрактов за отчетный период не может превышать сумму, отраженную в годовой бухгалтерской отчетности за данный период.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разница между суммой выручки, указанной в документах БФО и суммой цен исполненных ООО «РСК» контрактов, представленных в составе заявок на участие в закупках, является следствием формирования сведений о выручке за вычетом налога на прибыль, а также ввиду оплаты по ряду контрактов в следующем календарном году.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под недостоверными сведениями следует понимать сведения, не соответствующие действительности. 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 (п. 7).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предоставленное заказчику право отклонить поданную заявку в случае обнаружения в ней недостоверных сведений свидетельствует о том, что располагать такой информацией заказчик должен непосредственно на момент принятия соответствующего решения, причем располагать именно доказательствами такой недостоверности, но не руководствоваться предположениями.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представителем Заказчика не представлено документов, подтверждающих факт недостоверности информации о заключенных контрактах, в частности не представлено документов и сведений, однозначно подтверждающих факт недостоверности представленных участником закупки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как следует из материалов дела в настоящем случае, у комиссии по осуществлению закупок Заказчика отсутствовали документы,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подтверждающие недостоверность представленных сведений, ввиду чего у комиссии по осуществлению закупок отсутствовали правовые основания к отклонению заявок участника закупок.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решение комиссии по осуществлению закупок Заказчика в части отклонения заявки Заявителя на основании, указанном в протоколе подведения итогов, является неправомерным и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Вместе с этим, согласно протоколу рассмотрения и оценки вторых частей заявок на участие в открытом конкурсе в электронной форме по закупочной процедуре № 0373200138223000091 заявка ООО «РСК», с идентификационными номерами 39165, отклонена также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заявку несоответствующей извещению об осуществлении закупки. Пунктом 14 независимой гарантии установлено, что споры, возникающие в связи с исполнением обязательств по настоящей независимой гарантии, подлежат рассмотрению в Арбитражном суде в порядке, предусмотренном законодательством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извещении об осуществлении закупки установлено, что независимая гарантия должна содержать указание на то, что все споры по независимой гарантии подлежат рассмотрению в Арбитражном суде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08.11.2013 № 1005 "О независимых гарантиях, используемых для целей Федерального закона "О контрактной системе в сфере закупок товаров, работ, услуг для обеспечения государственных и муниципальных нужд" утверждена типовая форма независимой гарантии, предоставляемой в качестве обеспечения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 14 Типовой формы содержит сноску № 8, согласно которой в Типовой форме независимой гарантии указывается наименование арбитражного суда.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независимая гарантия, представленная участником закупки, не соответствует требованиям, содержащимся в извещении об осуществлении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ст.45 Закона о контрактной системе. Выбор способа обеспечения осуществляется участником закупки самостоятельно.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ст.45 Закона о контрактной системе основанием для отказа в принятии независимой гарантии заказчиком является: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отсутствие информации о независимой гарантии в предусмотренных ст.45 Закона о контрактной системе реестрах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несоответствие независимой гарантии требованиям, предусмотренным частями 2, 3 и 8.2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несоответствие независимой гарантии требованиям, содержащимся в извещении об осуществлении закупки, приглашении, документации о закупке (в случае,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ст.31 Закона о контрактной системе предусмотрено, что при осуществлении закупки заказчик устанавливает единые требования к участникам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в качестве обеспечения заявки представлена независимая гарантия №39254-21КЭБГ/0038 от 13.04.2023, выданная АО «КИВИ Банк» (далее — независимая гарантия).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 ст.45 Закона о контрактной системе установлен перечень информации, которую должна содержать независимая гарантия.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п.24.1 информационной карты извещения определены требования к независимой гарантии предоставляемой в качестве обеспечения заявки, в том числе установлено следующее требование: «Независимая гарантия должна в том числе содержать: указание на то, что все споры по независимой гарантии подлежат рассмотрению в Арбитражном суде города Москвы».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п. 14 Независимой гарантии содержит следующее: «Споры, возникающие в связи с исполнением обязательств по настоящей независимой гарантии, подлежат рассмотрению в Арбитражном суде, в порядке, предусмотренном действующим законодательством Российской Федерации», что напрямую не соответствуют требованиям извещения о проведении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Закона о контрактной системе и других федеральных законов, регулирующих отношения, указанные в ч.1 ст.1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ст.35 Арбитражного процессуального кодекса Российской Федерации (далее - АПК РФ) иск предъявляется в арбитражный суд субъекта Российской Федерации по месту нахождения или месту жительства ответчика.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ст.37 АПК РФ подсудность, установленная ст.35 и ст.36 АПК РФ, может быть изменена по соглашению сторон до принятия арбитражным судом заявления к своему производству.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как установлено Комиссией Управления, Заказчиком предъявлено требование о наличии в независимой гарантии указания на то, что все споры по независимой гарантии подлежат рассмотрению в Арбитражном суде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в положениях спорной гарантии отсутствует требуемое извещением указание, что не соответствует требованиям п.24.1 информационной карты.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независимой гарантии не соответствующей требованиям извещения и принятие комиссией по осуществлению закупок Заказчика решения об отклонения заявки Заявителя является 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постановления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- Постановление № 1005) утверждены: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независимой гарантии, используемой для целей Закона о контрактной системы (далее - Дополнительные требования);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форма требования об осуществлении уплаты денежной суммы по независимой гарантии;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закрытого реестра независимых гарантий;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- Типовая форма);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Абз.9 п.«а» Дополнительных требований установлено обязательное закрепление в независимой гарантии условия о рассмотрении споров, возникающих в связи с исполнением обязательств по независимой гарантии, в арбитражном суде.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7459" w:val="left"/>
          <w:tab w:pos="7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п.14 Типовой формы предусмотрено следующее: «Споры, возникающие в связи с исполнением обязательств по независимой гарантии, подлежат рассмотрению в арбитражном суде </w:t>
        <w:tab/>
        <w:tab/>
        <w:t>&lt;8&gt;, где &lt;8&gt;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Указывается наименование арбитражного суда».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Постановлением №1005 установлено требование об обязательном закреплении в независимой гарантии условия о рассмотрении споров в конкретном арбитражном суде.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Постановлением №1005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по утвержденной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Законом о контрактной системе гарантийных обязательств), на условиях, определенных гражданским законодательством и ст. 45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013" w:val="left"/>
          <w:tab w:pos="46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утверждена постановлением Правительства Российской Федерации от 09.08.2022</w:t>
        <w:tab/>
        <w:t>№</w:t>
        <w:tab/>
        <w:t>1397 «О независимых гарантиях,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предоставляемых в качестве обеспечения заявки на участие в конкурентной закупке товаров, работ, услуг в электронной форме с участием субъектов малого и среднего предпринимательства, и независимых гарантиях, предоставляемых в качестве обеспечения исполнения договора, заключаемого по результатам такой закупки, а также о внесении изменений в некоторые акты Правительства Российской Федерации».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Независимая гарантия выдана Заявителю 13.04.2023.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момент выдачи Независимой гарантии Заявителю Типовая форма независимой гарантии, предоставляемой в качестве обеспечения заявок на участие в закупках, является обязательной.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Управления приходит к выводу, что Независимая гарантия, выданная АО «КИВИ Банк», не соответствует типовой форме независимой гарантии, в частности п.14 Типовой формы, поскольку в составе независимой гарантии не указано на конкретное наименование арбитражного суда, в котором могут рассматриваться споры, возникающие в связи с исполнением обязательств по независимой гарантии.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вышеуказанные действия АО «КИВИ Банк» нарушают ч.8.2 ст.45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жалобы ООО «РСК» на действия комиссий по осуществлению закупок ГКУ «Технический центр Департамента культуры г. Москвы» обоснованными в части отклонения заявки участника закупки на основании представления недостоверных сведений в составе заявок ООО «РСК».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комиссий по осуществлению закупок Заказчика нарушения пп.«а» п.1 ч.5 ст.49 Закона о контрактной системе, признать в действиях АО «КИВИ Банк» нарушения ч.8.2 ст.45 Закона о контрактной системе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Заказчику, Оператору электронной площадки, АО «КИВИ Банк» предписание об устранении выявленного нарушения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6"/>
        <w:keepNext/>
        <w:keepLines/>
        <w:widowControl w:val="0"/>
        <w:shd w:val="clear" w:color="auto" w:fill="auto"/>
        <w:tabs>
          <w:tab w:pos="7543" w:val="left"/>
        </w:tabs>
        <w:bidi w:val="0"/>
        <w:spacing w:before="0" w:after="220" w:line="240" w:lineRule="auto"/>
        <w:ind w:left="0"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  <w:bookmarkEnd w:id="2"/>
    </w:p>
    <w:p>
      <w:pPr>
        <w:pStyle w:val="Style16"/>
        <w:keepNext/>
        <w:keepLines/>
        <w:widowControl w:val="0"/>
        <w:shd w:val="clear" w:color="auto" w:fill="auto"/>
        <w:tabs>
          <w:tab w:pos="7543" w:val="left"/>
        </w:tabs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 Кутейников</w:t>
      </w:r>
      <w:bookmarkEnd w:id="4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320" w:line="240" w:lineRule="auto"/>
        <w:ind w:left="0" w:right="560" w:firstLine="0"/>
        <w:jc w:val="righ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7"/>
      <w:footerReference w:type="default" r:id="rId8"/>
      <w:headerReference w:type="firs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666" w:right="563" w:bottom="821" w:left="1080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709930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2023-13764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5.899999999999999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2023-13764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3718560</wp:posOffset>
              </wp:positionH>
              <wp:positionV relativeFrom="page">
                <wp:posOffset>762635</wp:posOffset>
              </wp:positionV>
              <wp:extent cx="13398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Cambria" w:eastAsia="Cambria" w:hAnsi="Cambria" w:cs="Cambria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2.80000000000001pt;margin-top:60.050000000000004pt;width:10.5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Cambria" w:eastAsia="Cambria" w:hAnsi="Cambria" w:cs="Cambria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280"/>
      <w:ind w:right="2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