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1778000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717550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1о77@Га8.аоу.ги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5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1о77@Га8.аоу.ги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«Технический центр Департамента культуры г. Москвы»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хакирИ@сикш'е.то8.ги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«РСК»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сотрапуг8к@П81\ги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«КИВИ Банк»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Ьа11кдап1111@с]1\\'1.сот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1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4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делу №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077/06/106-5854/2023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нарушении</w:t>
        <w:br/>
        <w:t>законодательства о контрактной системе</w:t>
      </w:r>
    </w:p>
    <w:p>
      <w:pPr>
        <w:pStyle w:val="Style14"/>
        <w:keepNext/>
        <w:keepLines/>
        <w:widowControl w:val="0"/>
        <w:shd w:val="clear" w:color="auto" w:fill="auto"/>
        <w:tabs>
          <w:tab w:pos="8318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04.05.2023 по делу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№077/06/106- 5854/2023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«РСК» (далее — Заявитель) на действия ГКУ «Технический центр Департамента культуры г. Москвы» (далее — Заказчик) при проведении открытых конкурсов в электронной форме на право заключения государственных контрактов на выполнение работ по текущему ремонту помещений ГБУК г. Москвы «ОКЦ СВАО» (Закупки № 0373200138223000091, 0373200138223000092, 0373200138223000093, 0373200138223000094) (далее — конкурс, электронный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комиссиям по осуществлению закупок отменить Протоколы рассмотрения и оценки вторых частей заявок, Протоколы подведения итогов (далее - Протоколы) и назначить новые даты рассмотрения вторых частей заявок на участие в конкурсах. При этом дата рассмотрения вторых частей заявок должна быть назначена не ранее чем через 6 рабочих дней со дня отмены Протоколов.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закупок, подавших заявки на участие в конкурсах, в том числе Заявителя, об отмене Протоколов, о новых датах рассмотрения вторых частей заявок на участие в конкурсах, а также о необходимости наличия на счетах для проведения операций по обеспечению участия в конкурсах, открытых участникам закупки, денежных средств в размере обеспечения заявки на участие в конкурсах,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конкурсах,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Комиссиям по осуществлению закупок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№077/06/106-5854/2023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№077/06/106-5854/2023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комиссиям по осуществлению закупок,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№077/06/106-5854/2023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комиссиям по осуществлению закупок, оператору электронной площадки, Банку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исполнить настоящее предписание и представить в Московское УФАС России подтверждение исполнения настоящего предписания в письменном виде или по факсимильной связи (8(495) 607-42-92) или а также электронной почте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й)77@Та*.доу.ги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04.05.2023 по делу №077/06/106-5854/2023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70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877695" cy="5880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7695" cy="588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147.84999999999999pt;height:46.30000000000000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70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40" w:line="240" w:lineRule="auto"/>
        <w:ind w:left="7480"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headerReference w:type="default" r:id="rId7"/>
      <w:footerReference w:type="default" r:id="rId8"/>
      <w:headerReference w:type="firs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666" w:right="536" w:bottom="821" w:left="1106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2023-13764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5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2023-13764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3747135</wp:posOffset>
              </wp:positionH>
              <wp:positionV relativeFrom="page">
                <wp:posOffset>762635</wp:posOffset>
              </wp:positionV>
              <wp:extent cx="6096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Fonts w:ascii="Cambria" w:eastAsia="Cambria" w:hAnsi="Cambria" w:cs="Cambria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95.05000000000001pt;margin-top:60.050000000000004pt;width:4.7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Fonts w:ascii="Cambria" w:eastAsia="Cambria" w:hAnsi="Cambria" w:cs="Cambria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3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auto"/>
      <w:spacing w:after="2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