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  <w:rPr>
          <w:sz w:val="134"/>
          <w:szCs w:val="134"/>
        </w:rPr>
      </w:pPr>
      <w:r>
        <w:rPr>
          <w:color w:val="4460A1"/>
          <w:spacing w:val="0"/>
          <w:w w:val="100"/>
          <w:position w:val="0"/>
          <w:sz w:val="134"/>
          <w:szCs w:val="134"/>
          <w:u w:val="single"/>
          <w:shd w:val="clear" w:color="auto" w:fill="auto"/>
          <w:lang w:val="ru-RU" w:eastAsia="ru-RU" w:bidi="ru-RU"/>
        </w:rPr>
        <w:t>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4460A1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1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Томской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6"/>
          <w:szCs w:val="16"/>
        </w:rPr>
      </w:pPr>
      <w:r>
        <w:rPr>
          <w:color w:val="4460A1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Адрес места нахождения: г.Томск, пр-кт. Ленина, 111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6"/>
          <w:szCs w:val="16"/>
        </w:rPr>
      </w:pPr>
      <w:r>
        <w:rPr>
          <w:color w:val="4460A1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Почтовый адрес: 634069, г.Томск, пр-кт. Ленина, 111</w:t>
        <w:br/>
        <w:t>тел. (3822) 51-50-61, факс (3822) 51-29-80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6"/>
          <w:szCs w:val="16"/>
        </w:rPr>
      </w:pPr>
      <w:r>
        <w:rPr>
          <w:color w:val="4460A1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е-тай: 1о70@(а8.§оу.п1</w:t>
      </w:r>
    </w:p>
    <w:p>
      <w:pPr>
        <w:pStyle w:val="Style11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ИК/2686/2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center"/>
        <w:rPr>
          <w:sz w:val="18"/>
          <w:szCs w:val="18"/>
        </w:rPr>
      </w:pPr>
      <w:r>
        <w:rPr>
          <w:color w:val="4460A1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по делу №070/06/106 418/2023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Сысоев Константин Владимирович 354003, г. Сочи, пер. Вишневый, д. 85Б, пом. 12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8кусоп8иког@дтай .сот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Города Томска 634009, г. Томск, пр. Ленина, д.73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итV@а^ттЛот8к.^и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Октябрьского района г. Томска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634003, г. Томск, ул. Пушкина, д. 17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а1отай@а1о.адттЛот8к.ги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РТС-тендер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121151, г. Москва, наб. Тараса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Шевченко, д. 23А, 25 этаж, помещение 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714" w:bottom="1217" w:left="1140" w:header="0" w:footer="3" w:gutter="0"/>
          <w:pgNumType w:start="1"/>
          <w:cols w:num="2" w:space="720" w:equalWidth="0">
            <w:col w:w="4195" w:space="1070"/>
            <w:col w:w="4781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ко@г18-1епдег.ги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6" w:after="10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№070/06/106-418/2023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о нарушении</w:t>
        <w:br/>
        <w:t>законодательства Российской Федерации</w:t>
        <w:br/>
        <w:t>о контрактной системе в сфере закупок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6188710</wp:posOffset>
                </wp:positionH>
                <wp:positionV relativeFrom="paragraph">
                  <wp:posOffset>12700</wp:posOffset>
                </wp:positionV>
                <wp:extent cx="633730" cy="25019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Томск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87.30000000000001pt;margin-top:1.pt;width:49.899999999999999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Томск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Томской области по контролю законодательства о контрактной системе в сфере закупок, рассмотрению информации о включении в реестр недобросовестных поставщиков (далее - Комиссия Томского УФАС России, Комиссия) в составе: председателя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Камалдиновой И.М. - врио заместителя руководителя;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40" w:right="0" w:hanging="26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Крыловой К.С. - специалиста 1 разряда отдела контроля монополистической деятельности;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40" w:right="0" w:hanging="26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Истоминой З.С. - специалиста 1 разряда отдела контроля монополистической деятельности,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жалобу, поступившую 27.04.2023 г. (вх.№3526-ЭП/23 от 28.04.2023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bookmarkStart w:id="2" w:name="bookmark2"/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>||||||||||||||||||||||||</w:t>
      </w:r>
      <w:bookmarkEnd w:id="2"/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 xml:space="preserve"> </w:t>
      </w:r>
      <w:r>
        <w:rPr>
          <w:rStyle w:val="CharStyle17"/>
        </w:rPr>
        <w:t>г.) от Сысоева К.В. (далее - Заявитель) на действия Администрации Октябрьского района города Томска (далее - Заказчик) при осуществлении закупки в форме электронного аукциона «Выполнение работ по содержанию автомобильных дорог общего пользования, расположенных на территории Октябрьского района города Томска в рамках подпрограммы «Содержание улично-дорожной сети» муниципальной программы «Развитие дорожного хозяйства 2022-2030 г.г.»» (извещение № 0165300010523000368),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 Заказчика - Ивлевой Н.Б (Доверенность №39 от 03.05.2023 г.), Лобыни В.Д. (Доверенность №42 от 03.05.2023 г.), при участии представителя Уполномоченного учреждения - Комогорцева А.В. (Доверенность №8782 от 28.11.2022 г.) Заявитель, надлежащим образом уведомленный о дате и времени рассмотрения настоящего дела, явку не обеспечил, представителя не направил,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69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27.04.2023 г. в Томское УФАС России обратился Заявитель с жалобой, поданной в срок и соответствующей статье 105 Закона 44-ФЗ, на действия Заказчика при осуществлении закупки в форме электронного аукциона «Выполнение работ по содержанию автомобильных дорог общего пользования, расположенных на территории Октябрьского района города Томска в рамках подпрограммы «Содержание улично-дорожной сети» муниципальной программы «Развитие дорожного хозяйства 2022-2030</w:t>
        <w:tab/>
        <w:t>г.г.»» (извещение №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0165300010523000368), нарушающие, по мнению Заявителя, законодательство 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жалобы Заявителя следует, что Заказчик неправомерно установил дополнительные требования в соответствии с позицией 18 раздела III Приложения к Постановлению №2571.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просит признать жалобу обоснованной, выдать Заказчику предписание об устранении нарушений.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и Уполномоченное учреждение в письменных возражениях на жалобу (вх.№3639-ЭП/23 от 03.05.2023, вх.№3637-ЭП/23 от 03.05.2023 соответственно) указал, что действия в части установления дополнительных требований к участникам электронного аукциона о наличии опыта, предусмотренного позицией 18 раздела III Приложения Постановления №2571 установлены правомерно.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проверки, Комиссия Томского УФАС России установила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закупки в форме электронного аукциона «Выполнение работ по содержанию автомобильных дорог общего пользования, расположенных на территории Октябрьского района города Томска в рамках подпрограммы «Содержание улично-дорожной сети» муниципальной программы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692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«Развитие дорожного хозяйства 2022-2030</w:t>
        <w:tab/>
        <w:t>г.г.»» (извещение №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0165300010523000368) размещено на Официальном сайте единой информационной системы в сфере закупок в информационно-телекоммуникационной сети Интернет (далее - Официальный сайт, ЕИС) 20.04.2023.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составляет 5 000 000,00 руб.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 закупки - «Выполнение работ по содержанию автомобильных дорог общего пользования, расположенных на территории Октябрьского района города Томска в рамках подпрограммы «Содержание улично-дорожной сети» муниципальной программы «Развитие дорожного хозяйства 2022-2030 г.г.».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состоянию на 02.05.2023 для закупки № 0165300010523000368 от 20.04.2023 на участие в аукционе было подано 5 заявок.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1 статьи 49 Закона о контрактной системе установлено, что электронный аукцион начинается с размещения в единой информационной системе извещения об осуществлении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 части 2 статьи 42 Закона о контрактной системе определено, что извещение об осуществлении закупки, если иное не предусмотрено настоящим Федеральным законом, должно содержать в виде электронного документа описание объекта закупки в соответствии со статьей 33 настоящего Федерального закона.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части 1 статьи 33 Закона о контрактной системе,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пункта 3 части 2 статьи 31 Закона о контрактной системе,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2 статьи 31 Закона о контрактной системе,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4 статьи 31 Закона о контрактной системе установлено, что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своей жалобе Заявитель указывает, что в извещении о проведении электронного аукциона № 0165300010523000368 Заказчиком неправомерно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установлено дополнительное требование к участникам закупки, исходя из позиции 18 раздела III Приложения к Постановлению №2571 в связи с тем, что данное положение применяется только при сумме НМЦК свыше 5 млн 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 18 раздела III Приложения к Постановлению №2571 устанавливает дополнительные требования к участника закупки, объектом которой являются работы по ремонту, содержанию автомобильной дороги: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участника закупки следующего опыта выполнения работ: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ремонту, содержанию автомобильной дороги;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капитальному ремонту автомобильной дороги;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 строительного подряда, предусматривающего выполнение работ по строительству, реконструкции автомобильной дороги;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выполнения участником закупки, являющимся застройщиком, работ по строительству, реконструкции автомобильной дороги.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выполненных работ по договорам, предусмотренным пунктами 1, 2 или 3 настоящей графы настоящей позиции, цена выполненных работ, предусмотренных пунктом 4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абзацем 3 подпункта «а» пункта 3 Постановления №2571 позиция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Объектом закупки согласно извещению о проведении электронного аукциона №0165300010523000368 является выполнение работ по содержанию автомобильных дорог общего пользования, расположенных на территории Октябрьского района города Томска в рамках подпрограммы «Содержание улично-дорожной сети» муниципальной программы «Развитие дорожного хозяйства 2022-2030 г.г.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данной закупки 5 000 000,00 руб.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Томского УФАС установила, что извещение №0165300010523000368 во исполнение части 4 статьи 31 Закона о контрактной системе содержит требования, предусмотренных позицией 18 раздела III Постановления Правительства РФ №2571.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изложенного, Заказчиком правомерно установлено дополнительное требование в соответствии с позицией 18 раздела III Постановления Правительства РФ №2571 при НМЦК 5 000 000, 00 руб. Установление указанных требований не нарушило права и законные интересы участников аукциона и не повлияло на результаты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Заявителем не предоставлено доказательств того, каким образом действия Заказчика в части установления дополнительных требований к участникам закупки нарушают его права и законные интересы.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указанный довод не находит свое подтверждение.</w:t>
      </w:r>
      <w:r>
        <w:br w:type="page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необоснованна.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Принимая во внимание вышеизложенное, и руководствуясь статьей 31, 33, статьей 42, статьей 49, статьей 105, статьей 106 Закона 44-ФЗ, Комиссия Томского УФАС России,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2" w:val="left"/>
          <w:tab w:pos="69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Сысоева К.В. на действия Администрации Октябрьского района города Томска при осуществлении закупки в форме электронного аукциона «Выполнение работ по содержанию автомобильных дорог общего пользования, расположенных на территории Октябрьского района города Томска в рамках подпрограммы «Содержание улично-дорожной сети» муниципальной программы «Развитие дорожного хозяйства 2022-2030</w:t>
        <w:tab/>
        <w:t>г.г.»» (извещение №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0165300010523000368) необоснованной.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 нарушений Закона о контрактной системе не установлено.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52" w:val="left"/>
        </w:tabs>
        <w:bidi w:val="0"/>
        <w:spacing w:before="0" w:after="5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не выдавать.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в установленном законом порядке.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499" w:bottom="1217" w:left="107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58800" distB="255905" distL="0" distR="0" simplePos="0" relativeHeight="125829380" behindDoc="0" locked="0" layoutInCell="1" allowOverlap="1">
                <wp:simplePos x="0" y="0"/>
                <wp:positionH relativeFrom="page">
                  <wp:posOffset>740410</wp:posOffset>
                </wp:positionH>
                <wp:positionV relativeFrom="paragraph">
                  <wp:posOffset>558800</wp:posOffset>
                </wp:positionV>
                <wp:extent cx="1828800" cy="25019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300000000000004pt;margin-top:44.pt;width:144.pt;height:19.699999999999999pt;z-index:-125829373;mso-wrap-distance-left:0;mso-wrap-distance-top:44.pt;mso-wrap-distance-right:0;mso-wrap-distance-bottom:20.150000000000002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23265" distB="85725" distL="0" distR="0" simplePos="0" relativeHeight="125829382" behindDoc="0" locked="0" layoutInCell="1" allowOverlap="1">
                <wp:simplePos x="0" y="0"/>
                <wp:positionH relativeFrom="page">
                  <wp:posOffset>3078480</wp:posOffset>
                </wp:positionH>
                <wp:positionV relativeFrom="paragraph">
                  <wp:posOffset>723265</wp:posOffset>
                </wp:positionV>
                <wp:extent cx="1722120" cy="25590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222222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color w:val="222222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2.40000000000001pt;margin-top:56.950000000000003pt;width:135.59999999999999pt;height:20.150000000000002pt;z-index:-125829371;mso-wrap-distance-left:0;mso-wrap-distance-top:56.950000000000003pt;mso-wrap-distance-right:0;mso-wrap-distance-bottom:6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222222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color w:val="222222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11530" distB="635" distL="0" distR="0" simplePos="0" relativeHeight="125829384" behindDoc="0" locked="0" layoutInCell="1" allowOverlap="1">
                <wp:simplePos x="0" y="0"/>
                <wp:positionH relativeFrom="page">
                  <wp:posOffset>5735955</wp:posOffset>
                </wp:positionH>
                <wp:positionV relativeFrom="paragraph">
                  <wp:posOffset>811530</wp:posOffset>
                </wp:positionV>
                <wp:extent cx="1459865" cy="2527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98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И.М. Камалдинова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51.65000000000003pt;margin-top:63.899999999999999pt;width:114.95pt;height:19.900000000000002pt;z-index:-125829369;mso-wrap-distance-left:0;mso-wrap-distance-top:63.899999999999999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И.М. Камалдинова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20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208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Камалдинова Ильмира Маратовна </w:t>
      </w:r>
      <w:r>
        <w:rPr>
          <w:rFonts w:ascii="Arial" w:eastAsia="Arial" w:hAnsi="Arial" w:cs="Arial"/>
          <w:color w:val="43434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3434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2ЕА08ВБЕЕСА91Е565771С6Е601ВА9ВО8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66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43434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19.10.2022 </w:t>
      </w:r>
      <w:r>
        <w:rPr>
          <w:rFonts w:ascii="Arial" w:eastAsia="Arial" w:hAnsi="Arial" w:cs="Arial"/>
          <w:color w:val="8A8A8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43434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12.01.2024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6168390</wp:posOffset>
                </wp:positionH>
                <wp:positionV relativeFrom="paragraph">
                  <wp:posOffset>266700</wp:posOffset>
                </wp:positionV>
                <wp:extent cx="1027430" cy="25019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К.С.Крылова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5.69999999999999pt;margin-top:21.pt;width:80.900000000000006pt;height:19.699999999999999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К.С.Крылова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18" w:lineRule="auto"/>
        <w:ind w:left="3740" w:right="0" w:firstLine="0"/>
        <w:jc w:val="left"/>
        <w:rPr>
          <w:sz w:val="12"/>
          <w:szCs w:val="12"/>
        </w:rPr>
      </w:pPr>
      <w:r>
        <w:rPr>
          <w:color w:val="22222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ЭП, </w:t>
      </w:r>
      <w:r>
        <w:rPr>
          <w:color w:val="22222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Крылова Карина Сергеевна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43434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8A8A8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241</w:t>
      </w:r>
      <w:r>
        <w:rPr>
          <w:rFonts w:ascii="Arial" w:eastAsia="Arial" w:hAnsi="Arial" w:cs="Arial"/>
          <w:color w:val="43434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Е404С2442Е14ВАЕ6А5С896О85СС6В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43434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25.01.2023 </w:t>
      </w:r>
      <w:r>
        <w:rPr>
          <w:rFonts w:ascii="Arial" w:eastAsia="Arial" w:hAnsi="Arial" w:cs="Arial"/>
          <w:color w:val="8A8A8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43434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19.04.2024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1" w:bottom="208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50190" distB="635" distL="0" distR="0" simplePos="0" relativeHeight="125829388" behindDoc="0" locked="0" layoutInCell="1" allowOverlap="1">
                <wp:simplePos x="0" y="0"/>
                <wp:positionH relativeFrom="page">
                  <wp:posOffset>3077845</wp:posOffset>
                </wp:positionH>
                <wp:positionV relativeFrom="paragraph">
                  <wp:posOffset>250190</wp:posOffset>
                </wp:positionV>
                <wp:extent cx="1722120" cy="25590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222222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color w:val="222222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color w:val="222222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34999999999999pt;margin-top:19.699999999999999pt;width:135.59999999999999pt;height:20.150000000000002pt;z-index:-125829365;mso-wrap-distance-left:0;mso-wrap-distance-top:19.699999999999999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222222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color w:val="222222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color w:val="222222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67640" distL="0" distR="0" simplePos="0" relativeHeight="125829390" behindDoc="0" locked="0" layoutInCell="1" allowOverlap="1">
                <wp:simplePos x="0" y="0"/>
                <wp:positionH relativeFrom="page">
                  <wp:posOffset>6119495</wp:posOffset>
                </wp:positionH>
                <wp:positionV relativeFrom="paragraph">
                  <wp:posOffset>88900</wp:posOffset>
                </wp:positionV>
                <wp:extent cx="107569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56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З.С.Истомина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1.85000000000002pt;margin-top:7.pt;width:84.700000000000003pt;height:19.699999999999999pt;z-index:-125829363;mso-wrap-distance-left:0;mso-wrap-distance-top:7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З.С.Истомина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3" w:after="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110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Истомина Злата Сергеевна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43434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3434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0099СВ715720Е8ВЗЕ6ЕСРЕА4Е96304ВАЕ2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43434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25.01.2023 по </w:t>
      </w:r>
      <w:r>
        <w:rPr>
          <w:rFonts w:ascii="Arial" w:eastAsia="Arial" w:hAnsi="Arial" w:cs="Arial"/>
          <w:color w:val="43434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19.04.2024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10016490</wp:posOffset>
              </wp:positionV>
              <wp:extent cx="643255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2023-3455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200000000000003pt;margin-top:788.70000000000005pt;width:50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2023-3455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325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2023-3455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0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2023-3455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