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7"/>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7"/>
        <w:keepNext w:val="0"/>
        <w:keepLines w:val="0"/>
        <w:widowControl w:val="0"/>
        <w:shd w:val="clear" w:color="auto" w:fill="auto"/>
        <w:bidi w:val="0"/>
        <w:spacing w:before="0" w:after="200" w:line="307" w:lineRule="auto"/>
        <w:ind w:left="0" w:right="0" w:firstLine="0"/>
        <w:jc w:val="center"/>
      </w:pPr>
      <w:r>
        <w:rPr>
          <w:spacing w:val="0"/>
          <w:w w:val="100"/>
          <w:position w:val="0"/>
          <w:shd w:val="clear" w:color="auto" w:fill="auto"/>
          <w:lang w:val="ru-RU" w:eastAsia="ru-RU" w:bidi="ru-RU"/>
        </w:rPr>
        <w:t>е-тай: 1о40@Га8.§оу.ги</w:t>
      </w:r>
    </w:p>
    <w:p>
      <w:pPr>
        <w:pStyle w:val="Style10"/>
        <w:keepNext/>
        <w:keepLines/>
        <w:widowControl w:val="0"/>
        <w:shd w:val="clear" w:color="auto" w:fill="auto"/>
        <w:tabs>
          <w:tab w:pos="1814"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МЧ/1953/2</w:t>
      </w:r>
      <w:r>
        <w:rPr>
          <w:color w:val="000000"/>
          <w:spacing w:val="0"/>
          <w:w w:val="100"/>
          <w:position w:val="0"/>
          <w:u w:val="none"/>
          <w:shd w:val="clear" w:color="auto" w:fill="auto"/>
          <w:lang w:val="ru-RU" w:eastAsia="ru-RU" w:bidi="ru-RU"/>
        </w:rPr>
        <w:t>3</w:t>
      </w:r>
      <w:bookmarkEnd w:id="0"/>
    </w:p>
    <w:p>
      <w:pPr>
        <w:pStyle w:val="Style13"/>
        <w:keepNext w:val="0"/>
        <w:keepLines w:val="0"/>
        <w:widowControl w:val="0"/>
        <w:shd w:val="clear" w:color="auto" w:fill="auto"/>
        <w:bidi w:val="0"/>
        <w:spacing w:before="0"/>
        <w:ind w:left="0" w:right="0" w:firstLine="0"/>
        <w:jc w:val="left"/>
      </w:pPr>
      <w:r>
        <w:rPr>
          <w:spacing w:val="0"/>
          <w:w w:val="100"/>
          <w:position w:val="0"/>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«Сбербанк-АСТ» пер. Большой Саввинский, д.12, стр.9, г.Москва, 119435</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ко@зЪегЪапк-а81.ги</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«Строй-Электромонтаж-21» ул. Катаева, д.316, к.166, г.Ростов-на- Дону, Ростовская обл., 344000 8ет-21@4опрас.ги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спорта Калужской области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Пролетарская, д.111, г.Калуга, 248016</w:t>
      </w:r>
    </w:p>
    <w:p>
      <w:pPr>
        <w:pStyle w:val="Style1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тт8рог1@адт.ка1ида.ги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Министерство конкурентной политики Калужской области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Плеханова, д. 45, г. Калуга, 248001</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86" w:bottom="1231" w:left="1140" w:header="0" w:footer="3" w:gutter="0"/>
          <w:pgNumType w:start="1"/>
          <w:cols w:num="2" w:space="720" w:equalWidth="0">
            <w:col w:w="4238" w:space="1027"/>
            <w:col w:w="4709"/>
          </w:cols>
          <w:noEndnote/>
          <w:titlePg/>
          <w:rtlGutter w:val="0"/>
          <w:docGrid w:linePitch="360"/>
        </w:sectPr>
      </w:pPr>
      <w:r>
        <w:rPr>
          <w:color w:val="000000"/>
          <w:spacing w:val="0"/>
          <w:w w:val="100"/>
          <w:position w:val="0"/>
          <w:shd w:val="clear" w:color="auto" w:fill="auto"/>
          <w:lang w:val="ru-RU" w:eastAsia="ru-RU" w:bidi="ru-RU"/>
        </w:rPr>
        <w:t>тт-к-ро1Шк@адт.ка1ида.ги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 w:right="0" w:bottom="1188"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7"/>
        <w:keepNext w:val="0"/>
        <w:keepLines w:val="0"/>
        <w:widowControl w:val="0"/>
        <w:shd w:val="clear" w:color="auto" w:fill="auto"/>
        <w:bidi w:val="0"/>
        <w:spacing w:before="0" w:after="260" w:line="240" w:lineRule="auto"/>
        <w:ind w:left="0" w:right="180" w:firstLine="0"/>
        <w:jc w:val="right"/>
        <w:rPr>
          <w:sz w:val="26"/>
          <w:szCs w:val="26"/>
        </w:rPr>
      </w:pPr>
      <w:r>
        <mc:AlternateContent>
          <mc:Choice Requires="wps">
            <w:drawing>
              <wp:anchor distT="0" distB="0" distL="114300" distR="114300" simplePos="0" relativeHeight="125829378" behindDoc="0" locked="0" layoutInCell="1" allowOverlap="1">
                <wp:simplePos x="0" y="0"/>
                <wp:positionH relativeFrom="page">
                  <wp:posOffset>851535</wp:posOffset>
                </wp:positionH>
                <wp:positionV relativeFrom="paragraph">
                  <wp:posOffset>12700</wp:posOffset>
                </wp:positionV>
                <wp:extent cx="652145" cy="231775"/>
                <wp:wrapSquare wrapText="right"/>
                <wp:docPr id="5" name="Shape 5"/>
                <a:graphic xmlns:a="http://schemas.openxmlformats.org/drawingml/2006/main">
                  <a:graphicData uri="http://schemas.microsoft.com/office/word/2010/wordprocessingShape">
                    <wps:wsp>
                      <wps:cNvSpPr txBox="1"/>
                      <wps:spPr>
                        <a:xfrm>
                          <a:ext cx="652145"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г. Калуга</w:t>
                            </w:r>
                          </w:p>
                        </w:txbxContent>
                      </wps:txbx>
                      <wps:bodyPr wrap="none" lIns="0" tIns="0" rIns="0" bIns="0">
                        <a:noAutoFit/>
                      </wps:bodyPr>
                    </wps:wsp>
                  </a:graphicData>
                </a:graphic>
              </wp:anchor>
            </w:drawing>
          </mc:Choice>
          <mc:Fallback>
            <w:pict>
              <v:shape id="_x0000_s1031" type="#_x0000_t202" style="position:absolute;margin-left:67.049999999999997pt;margin-top:1.pt;width:51.350000000000001pt;height:18.2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г. Калуга</w:t>
                      </w:r>
                    </w:p>
                  </w:txbxContent>
                </v:textbox>
                <w10:wrap type="square" side="right" anchorx="page"/>
              </v:shape>
            </w:pict>
          </mc:Fallback>
        </mc:AlternateContent>
      </w:r>
      <w:r>
        <w:rPr>
          <w:color w:val="000000"/>
          <w:spacing w:val="0"/>
          <w:w w:val="100"/>
          <w:position w:val="0"/>
          <w:sz w:val="26"/>
          <w:szCs w:val="26"/>
          <w:shd w:val="clear" w:color="auto" w:fill="auto"/>
          <w:lang w:val="ru-RU" w:eastAsia="ru-RU" w:bidi="ru-RU"/>
        </w:rPr>
        <w:t>«10» мая 2023 года</w:t>
      </w:r>
    </w:p>
    <w:p>
      <w:pPr>
        <w:pStyle w:val="Style15"/>
        <w:keepNext w:val="0"/>
        <w:keepLines w:val="0"/>
        <w:widowControl w:val="0"/>
        <w:shd w:val="clear" w:color="auto" w:fill="auto"/>
        <w:bidi w:val="0"/>
        <w:spacing w:before="0" w:after="0" w:line="240" w:lineRule="auto"/>
        <w:ind w:left="2240" w:right="0" w:firstLine="0"/>
        <w:jc w:val="left"/>
      </w:pPr>
      <w:r>
        <w:rPr>
          <w:color w:val="000000"/>
          <w:spacing w:val="0"/>
          <w:w w:val="100"/>
          <w:position w:val="0"/>
          <w:sz w:val="24"/>
          <w:szCs w:val="24"/>
          <w:shd w:val="clear" w:color="auto" w:fill="auto"/>
          <w:lang w:val="ru-RU" w:eastAsia="ru-RU" w:bidi="ru-RU"/>
        </w:rPr>
        <w:t>Резолютивная часть решения оглашена «04» мая 2023 года.</w:t>
      </w:r>
    </w:p>
    <w:p>
      <w:pPr>
        <w:pStyle w:val="Style15"/>
        <w:keepNext w:val="0"/>
        <w:keepLines w:val="0"/>
        <w:widowControl w:val="0"/>
        <w:shd w:val="clear" w:color="auto" w:fill="auto"/>
        <w:bidi w:val="0"/>
        <w:spacing w:before="0" w:after="260" w:line="240" w:lineRule="auto"/>
        <w:ind w:left="2240" w:right="0" w:firstLine="0"/>
        <w:jc w:val="left"/>
      </w:pPr>
      <w:r>
        <w:rPr>
          <w:color w:val="000000"/>
          <w:spacing w:val="0"/>
          <w:w w:val="100"/>
          <w:position w:val="0"/>
          <w:sz w:val="24"/>
          <w:szCs w:val="24"/>
          <w:shd w:val="clear" w:color="auto" w:fill="auto"/>
          <w:lang w:val="ru-RU" w:eastAsia="ru-RU" w:bidi="ru-RU"/>
        </w:rPr>
        <w:t>В полном объеме решение изготовлено «10» мая 2023 года.</w:t>
      </w:r>
    </w:p>
    <w:p>
      <w:pPr>
        <w:pStyle w:val="Style15"/>
        <w:keepNext w:val="0"/>
        <w:keepLines w:val="0"/>
        <w:widowControl w:val="0"/>
        <w:shd w:val="clear" w:color="auto" w:fill="auto"/>
        <w:bidi w:val="0"/>
        <w:spacing w:before="0" w:after="260" w:line="240" w:lineRule="auto"/>
        <w:ind w:left="0" w:right="0" w:firstLine="580"/>
        <w:jc w:val="left"/>
      </w:pPr>
      <w:r>
        <w:rPr>
          <w:color w:val="000000"/>
          <w:spacing w:val="0"/>
          <w:w w:val="100"/>
          <w:position w:val="0"/>
          <w:sz w:val="24"/>
          <w:szCs w:val="24"/>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5"/>
        <w:keepNext w:val="0"/>
        <w:keepLines w:val="0"/>
        <w:widowControl w:val="0"/>
        <w:numPr>
          <w:ilvl w:val="0"/>
          <w:numId w:val="1"/>
        </w:numPr>
        <w:shd w:val="clear" w:color="auto" w:fill="auto"/>
        <w:tabs>
          <w:tab w:pos="950" w:val="left"/>
        </w:tabs>
        <w:bidi w:val="0"/>
        <w:spacing w:before="0" w:after="0" w:line="240" w:lineRule="auto"/>
        <w:ind w:left="520" w:right="0" w:firstLine="240"/>
        <w:jc w:val="left"/>
        <w:rPr>
          <w:sz w:val="26"/>
          <w:szCs w:val="26"/>
        </w:rPr>
      </w:pPr>
      <w:r>
        <mc:AlternateContent>
          <mc:Choice Requires="wps">
            <w:drawing>
              <wp:anchor distT="0" distB="0" distL="114300" distR="114300" simplePos="0" relativeHeight="125829380" behindDoc="0" locked="0" layoutInCell="1" allowOverlap="1">
                <wp:simplePos x="0" y="0"/>
                <wp:positionH relativeFrom="page">
                  <wp:posOffset>763270</wp:posOffset>
                </wp:positionH>
                <wp:positionV relativeFrom="paragraph">
                  <wp:posOffset>12700</wp:posOffset>
                </wp:positionV>
                <wp:extent cx="1012190" cy="972185"/>
                <wp:wrapSquare wrapText="right"/>
                <wp:docPr id="7" name="Shape 7"/>
                <a:graphic xmlns:a="http://schemas.openxmlformats.org/drawingml/2006/main">
                  <a:graphicData uri="http://schemas.microsoft.com/office/word/2010/wordprocessingShape">
                    <wps:wsp>
                      <wps:cNvSpPr txBox="1"/>
                      <wps:spPr>
                        <a:xfrm>
                          <a:ext cx="1012190" cy="972185"/>
                        </a:xfrm>
                        <a:prstGeom prst="rect"/>
                        <a:noFill/>
                      </wps:spPr>
                      <wps:txbx>
                        <w:txbxContent>
                          <w:p>
                            <w:pPr>
                              <w:pStyle w:val="Style15"/>
                              <w:keepNext w:val="0"/>
                              <w:keepLines w:val="0"/>
                              <w:widowControl w:val="0"/>
                              <w:shd w:val="clear" w:color="auto" w:fill="auto"/>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Чуриков М.А.</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Умнова Ю.П.</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Васильев А.А.</w:t>
                            </w:r>
                          </w:p>
                        </w:txbxContent>
                      </wps:txbx>
                      <wps:bodyPr lIns="0" tIns="0" rIns="0" bIns="0">
                        <a:noAutoFit/>
                      </wps:bodyPr>
                    </wps:wsp>
                  </a:graphicData>
                </a:graphic>
              </wp:anchor>
            </w:drawing>
          </mc:Choice>
          <mc:Fallback>
            <w:pict>
              <v:shape id="_x0000_s1033" type="#_x0000_t202" style="position:absolute;margin-left:60.100000000000001pt;margin-top:1.pt;width:79.700000000000003pt;height:76.549999999999997pt;z-index:-125829373;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Чуриков М.А.</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Умнова Ю.П.</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Васильев А.А.</w:t>
                      </w:r>
                    </w:p>
                  </w:txbxContent>
                </v:textbox>
                <w10:wrap type="square" side="right" anchorx="page"/>
              </v:shape>
            </w:pict>
          </mc:Fallback>
        </mc:AlternateContent>
      </w:r>
      <w:r>
        <w:rPr>
          <w:color w:val="000000"/>
          <w:spacing w:val="0"/>
          <w:w w:val="100"/>
          <w:position w:val="0"/>
          <w:sz w:val="26"/>
          <w:szCs w:val="26"/>
          <w:shd w:val="clear" w:color="auto" w:fill="auto"/>
          <w:lang w:val="ru-RU" w:eastAsia="ru-RU" w:bidi="ru-RU"/>
        </w:rPr>
        <w:t>председатель комиссии, заместитель руководителя- начальник отдела Калужского УФАС России;</w:t>
      </w:r>
    </w:p>
    <w:p>
      <w:pPr>
        <w:pStyle w:val="Style15"/>
        <w:keepNext w:val="0"/>
        <w:keepLines w:val="0"/>
        <w:widowControl w:val="0"/>
        <w:numPr>
          <w:ilvl w:val="0"/>
          <w:numId w:val="1"/>
        </w:numPr>
        <w:shd w:val="clear" w:color="auto" w:fill="auto"/>
        <w:tabs>
          <w:tab w:pos="866" w:val="left"/>
        </w:tabs>
        <w:bidi w:val="0"/>
        <w:spacing w:before="0" w:after="0" w:line="254" w:lineRule="auto"/>
        <w:ind w:left="520" w:right="0" w:firstLine="60"/>
        <w:jc w:val="left"/>
      </w:pPr>
      <w:r>
        <w:rPr>
          <w:color w:val="000000"/>
          <w:spacing w:val="0"/>
          <w:w w:val="100"/>
          <w:position w:val="0"/>
          <w:sz w:val="24"/>
          <w:szCs w:val="24"/>
          <w:shd w:val="clear" w:color="auto" w:fill="auto"/>
          <w:lang w:val="ru-RU" w:eastAsia="ru-RU" w:bidi="ru-RU"/>
        </w:rPr>
        <w:t>член комиссии, главный специалист - эксперт Калужского УФАС России,</w:t>
      </w:r>
    </w:p>
    <w:p>
      <w:pPr>
        <w:pStyle w:val="Style15"/>
        <w:keepNext w:val="0"/>
        <w:keepLines w:val="0"/>
        <w:widowControl w:val="0"/>
        <w:numPr>
          <w:ilvl w:val="0"/>
          <w:numId w:val="1"/>
        </w:numPr>
        <w:shd w:val="clear" w:color="auto" w:fill="auto"/>
        <w:tabs>
          <w:tab w:pos="866" w:val="left"/>
        </w:tabs>
        <w:bidi w:val="0"/>
        <w:spacing w:before="0" w:after="260" w:line="254" w:lineRule="auto"/>
        <w:ind w:left="520" w:right="0" w:firstLine="60"/>
        <w:jc w:val="left"/>
      </w:pPr>
      <w:r>
        <w:rPr>
          <w:color w:val="000000"/>
          <w:spacing w:val="0"/>
          <w:w w:val="100"/>
          <w:position w:val="0"/>
          <w:sz w:val="24"/>
          <w:szCs w:val="24"/>
          <w:shd w:val="clear" w:color="auto" w:fill="auto"/>
          <w:lang w:val="ru-RU" w:eastAsia="ru-RU" w:bidi="ru-RU"/>
        </w:rPr>
        <w:t>член комиссии, главный специалист - эксперт Калужского УФАС России;</w:t>
      </w:r>
    </w:p>
    <w:p>
      <w:pPr>
        <w:pStyle w:val="Style15"/>
        <w:keepNext w:val="0"/>
        <w:keepLines w:val="0"/>
        <w:widowControl w:val="0"/>
        <w:shd w:val="clear" w:color="auto" w:fill="auto"/>
        <w:bidi w:val="0"/>
        <w:spacing w:before="0" w:after="260" w:line="240" w:lineRule="auto"/>
        <w:ind w:left="0" w:right="0" w:firstLine="0"/>
        <w:jc w:val="center"/>
      </w:pPr>
      <w:r>
        <mc:AlternateContent>
          <mc:Choice Requires="wps">
            <w:drawing>
              <wp:anchor distT="0" distB="0" distL="76200" distR="76200" simplePos="0" relativeHeight="125829382" behindDoc="0" locked="0" layoutInCell="1" allowOverlap="1">
                <wp:simplePos x="0" y="0"/>
                <wp:positionH relativeFrom="page">
                  <wp:posOffset>705485</wp:posOffset>
                </wp:positionH>
                <wp:positionV relativeFrom="paragraph">
                  <wp:posOffset>12700</wp:posOffset>
                </wp:positionV>
                <wp:extent cx="2526665" cy="408305"/>
                <wp:wrapSquare wrapText="right"/>
                <wp:docPr id="9" name="Shape 9"/>
                <a:graphic xmlns:a="http://schemas.openxmlformats.org/drawingml/2006/main">
                  <a:graphicData uri="http://schemas.microsoft.com/office/word/2010/wordprocessingShape">
                    <wps:wsp>
                      <wps:cNvSpPr txBox="1"/>
                      <wps:spPr>
                        <a:xfrm>
                          <a:ext cx="2526665" cy="408305"/>
                        </a:xfrm>
                        <a:prstGeom prst="rect"/>
                        <a:noFill/>
                      </wps:spPr>
                      <wps:txbx>
                        <w:txbxContent>
                          <w:p>
                            <w:pPr>
                              <w:pStyle w:val="Style15"/>
                              <w:keepNext w:val="0"/>
                              <w:keepLines w:val="0"/>
                              <w:widowControl w:val="0"/>
                              <w:shd w:val="clear" w:color="auto" w:fill="auto"/>
                              <w:bidi w:val="0"/>
                              <w:spacing w:before="0" w:after="0" w:line="240" w:lineRule="auto"/>
                              <w:ind w:left="0" w:right="140" w:firstLine="0"/>
                              <w:jc w:val="right"/>
                            </w:pPr>
                            <w:r>
                              <w:rPr>
                                <w:color w:val="000000"/>
                                <w:spacing w:val="0"/>
                                <w:w w:val="100"/>
                                <w:position w:val="0"/>
                                <w:sz w:val="24"/>
                                <w:szCs w:val="24"/>
                                <w:shd w:val="clear" w:color="auto" w:fill="auto"/>
                                <w:lang w:val="ru-RU" w:eastAsia="ru-RU" w:bidi="ru-RU"/>
                              </w:rPr>
                              <w:t>при участии посредством Министерства спорта Калужской</w:t>
                            </w:r>
                          </w:p>
                        </w:txbxContent>
                      </wps:txbx>
                      <wps:bodyPr lIns="0" tIns="0" rIns="0" bIns="0">
                        <a:noAutoFit/>
                      </wps:bodyPr>
                    </wps:wsp>
                  </a:graphicData>
                </a:graphic>
              </wp:anchor>
            </w:drawing>
          </mc:Choice>
          <mc:Fallback>
            <w:pict>
              <v:shape id="_x0000_s1035" type="#_x0000_t202" style="position:absolute;margin-left:55.550000000000004pt;margin-top:1.pt;width:198.95000000000002pt;height:32.149999999999999pt;z-index:-125829371;mso-wrap-distance-left:6.pt;mso-wrap-distance-right:6.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140" w:firstLine="0"/>
                        <w:jc w:val="right"/>
                      </w:pPr>
                      <w:r>
                        <w:rPr>
                          <w:color w:val="000000"/>
                          <w:spacing w:val="0"/>
                          <w:w w:val="100"/>
                          <w:position w:val="0"/>
                          <w:sz w:val="24"/>
                          <w:szCs w:val="24"/>
                          <w:shd w:val="clear" w:color="auto" w:fill="auto"/>
                          <w:lang w:val="ru-RU" w:eastAsia="ru-RU" w:bidi="ru-RU"/>
                        </w:rPr>
                        <w:t>при участии посредством Министерства спорта Калужской</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видеоконференцсвязи: представителя заказчика -</w:t>
        <w:br/>
        <w:t>области Рогожина А.А. (паспорт, доверенность),</w:t>
      </w:r>
    </w:p>
    <w:p>
      <w:pPr>
        <w:pStyle w:val="Style26"/>
        <w:keepNext/>
        <w:keepLines/>
        <w:widowControl w:val="0"/>
        <w:shd w:val="clear" w:color="auto" w:fill="auto"/>
        <w:bidi w:val="0"/>
        <w:spacing w:before="0" w:after="0" w:line="240" w:lineRule="auto"/>
        <w:ind w:left="0" w:right="0" w:firstLine="0"/>
        <w:jc w:val="left"/>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6"/>
        </w:rPr>
        <w:t>представителя уполномоченного органа - Министерства конкурентной политики Калужской области Полубоярцева П.В. (паспорт, доверенность), представителя заявителя - ООО «Строй- Электромонтаж-21» Амбарцумяна М.Г. (паспорт, доверенность),</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рассмотрев посредством видеоконференцсвязи жалобу №040/06/105-328/2023 ООО «Строй-Электромонтаж-21» по существу, </w:t>
      </w:r>
      <w:r>
        <w:rPr>
          <w:b/>
          <w:bCs/>
          <w:color w:val="000000"/>
          <w:spacing w:val="0"/>
          <w:w w:val="100"/>
          <w:position w:val="0"/>
          <w:sz w:val="24"/>
          <w:szCs w:val="24"/>
          <w:shd w:val="clear" w:color="auto" w:fill="auto"/>
          <w:lang w:val="ru-RU" w:eastAsia="ru-RU" w:bidi="ru-RU"/>
        </w:rPr>
        <w:t>установила</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27.04.2023г. в адрес Калужского УФАС России поступила жалоба ООО «Строй- Электромонтаж-21» на положения извещения об осуществлении закупки при проведении электронного аукциона (номер извещения на официальном сайте 0137200001223001502), предметом которого является поставка и монтаж оборудования для создания «умных» спортивных площадок (далее - Аукцион).</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полагает, что извещение об осуществлении закупки,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05.04.2013 № 44-ФЗ.</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5"/>
        <w:keepNext w:val="0"/>
        <w:keepLines w:val="0"/>
        <w:widowControl w:val="0"/>
        <w:numPr>
          <w:ilvl w:val="0"/>
          <w:numId w:val="3"/>
        </w:numPr>
        <w:shd w:val="clear" w:color="auto" w:fill="auto"/>
        <w:tabs>
          <w:tab w:pos="875"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20.04.2023г. (с последующими изменениями от 21.04.2023г.) на официальном сайте Единой информационной системы в сфере закупок (\\л\л\-./акирк1.доу.ги; далее также официальный сайт, ЕИС) опубликовано извещение о проведении электронного аукциона №0137200001223001502, предметом которого является поставка и монтаж оборудования для создания «умных» спортивных площадок.</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Начальная (максимальная) цена контракта, согласно извещению о проведении аукциона, составляет 114 705 900,00 рублей.</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Дата и время окончания срока подачи заявок на участие в электронном аукционе: 28.04.2023 08:00.</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Заказчиком по указанному аукциону выступало Министерство спорта Калужской области.</w:t>
      </w:r>
    </w:p>
    <w:p>
      <w:pPr>
        <w:pStyle w:val="Style15"/>
        <w:keepNext w:val="0"/>
        <w:keepLines w:val="0"/>
        <w:widowControl w:val="0"/>
        <w:numPr>
          <w:ilvl w:val="0"/>
          <w:numId w:val="3"/>
        </w:numPr>
        <w:shd w:val="clear" w:color="auto" w:fill="auto"/>
        <w:tabs>
          <w:tab w:pos="86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доводам жалобы Заявителя, предмет закупки, код ОКПД, примененный в извещении 25.11.10.000 - Здания сборные из металла не попадает под действие Постановления № 1236. Также описание объекта закупки содержит требования к комплектации, однако не содержит тех систем, на которые распространяется Постановление № 1236. Раздел 5 Описания объекта закупки не содержит характеристик ПО в отношении Системы видеонаблюдения (СВН).</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также утверждает, что только одно ПО соответствует требованиям Заказчика, а именно - Автоматизированное рабочее место диспетчера АСУО «Лайт-09», запись в реестре от 24.01.2022 №12615.</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Частью 3 статьи 14 Федерального закона от 05.04.2013 № 44-ФЗ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w:t>
      </w:r>
      <w:r>
        <w:rPr>
          <w:color w:val="000000"/>
          <w:spacing w:val="0"/>
          <w:w w:val="100"/>
          <w:position w:val="0"/>
          <w:sz w:val="24"/>
          <w:szCs w:val="24"/>
          <w:shd w:val="clear" w:color="auto" w:fill="auto"/>
          <w:lang w:val="ru-RU" w:eastAsia="ru-RU" w:bidi="ru-RU"/>
        </w:rPr>
        <w:t>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2 постановления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(далее - программное обеспечение), для целей осуществления закупок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Извещением об осуществлении закупки установлен запрет в соответствии с Постановлением № 1236.</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извещения о проведении аукциона следует, что объектом закупки является товар, предусмотренный кодом ОКПД2 25.11.10.000 - Здания сборные из металла. Эта группировка включает: - сборные здания, преимущественно изготовленные из металла, полностью собранные и готовые к применению или несобранные незаконченные строения, собранные или несобранные, но обладающие характерными чертами сборных строений Здания могут служить рабочей подсобкой, конторой, навесом, гаражом, теплицей и т.д.</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пункта 1.4. Описания объекта закупки следует, что Заказчик закупает модульное спортивное сооружение, состоящее из стального каркаса и имеющее оборудование из металла.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объекта закупки, заказчиком приобретается оборудование для создания «умных» спортивных площадок, которое включает в себя программное обеспечение автоматизированной системы управления освещением АСУО и программное обеспечение системы видеонаблюдения.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Разделом №1 описания объекта закупки «Модульное спортивное сооружение» должно включать в себя автоматическую систему управления освещением (далее - Система, АСУО), которая должна быть выполнена в виде программно-аппаратного комплекса, состоящего из:</w:t>
      </w:r>
    </w:p>
    <w:p>
      <w:pPr>
        <w:pStyle w:val="Style15"/>
        <w:keepNext w:val="0"/>
        <w:keepLines w:val="0"/>
        <w:widowControl w:val="0"/>
        <w:numPr>
          <w:ilvl w:val="0"/>
          <w:numId w:val="5"/>
        </w:numPr>
        <w:shd w:val="clear" w:color="auto" w:fill="auto"/>
        <w:tabs>
          <w:tab w:pos="7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Программного обеспечения;</w:t>
      </w:r>
    </w:p>
    <w:p>
      <w:pPr>
        <w:pStyle w:val="Style15"/>
        <w:keepNext w:val="0"/>
        <w:keepLines w:val="0"/>
        <w:widowControl w:val="0"/>
        <w:numPr>
          <w:ilvl w:val="0"/>
          <w:numId w:val="5"/>
        </w:numPr>
        <w:shd w:val="clear" w:color="auto" w:fill="auto"/>
        <w:tabs>
          <w:tab w:pos="7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Шкафов управления освещением (ШУО);</w:t>
      </w:r>
    </w:p>
    <w:p>
      <w:pPr>
        <w:pStyle w:val="Style15"/>
        <w:keepNext w:val="0"/>
        <w:keepLines w:val="0"/>
        <w:widowControl w:val="0"/>
        <w:numPr>
          <w:ilvl w:val="0"/>
          <w:numId w:val="5"/>
        </w:numPr>
        <w:shd w:val="clear" w:color="auto" w:fill="auto"/>
        <w:tabs>
          <w:tab w:pos="7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Модулей управления светильниками.»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Требования к программному обеспечению АСУО определены Таблицей №1 Раздела №1 описания объекта закупки.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Довод заявителя о том, что описание объекта закупки не содержит систем, на которые распространяется Постановление № 1236 не находит своего подтверждения, так как описание объекта закупки (раздел 1) содержит в себе требование о наличии программного обеспечения в составе автоматизированной системы управления освещением; раздел 5 содержит в себе требование о наличии программного обеспечения системы видеонаблюдения (которое должно быть развернуто на компьютере). Указанное программное обеспечение подлежит установке в результате исполнения контракта.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разделе 5 описания объекта закупки указаны требования к системе видеонаблюдения. Заказчиком предъявляются требования к характеристикам и функционалу системы в целом, в том числе и ПО.</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Например: «</w:t>
      </w:r>
      <w:r>
        <w:rPr>
          <w:i/>
          <w:iCs/>
          <w:color w:val="000000"/>
          <w:spacing w:val="0"/>
          <w:w w:val="100"/>
          <w:position w:val="0"/>
          <w:sz w:val="24"/>
          <w:szCs w:val="24"/>
          <w:shd w:val="clear" w:color="auto" w:fill="auto"/>
          <w:lang w:val="ru-RU" w:eastAsia="ru-RU" w:bidi="ru-RU"/>
        </w:rPr>
        <w:t xml:space="preserve">Система видеонаблюдения должна обеспечить видеоаналитическую </w:t>
      </w:r>
      <w:r>
        <w:rPr>
          <w:i/>
          <w:iCs/>
          <w:color w:val="000000"/>
          <w:spacing w:val="0"/>
          <w:w w:val="100"/>
          <w:position w:val="0"/>
          <w:sz w:val="24"/>
          <w:szCs w:val="24"/>
          <w:shd w:val="clear" w:color="auto" w:fill="auto"/>
          <w:lang w:val="ru-RU" w:eastAsia="ru-RU" w:bidi="ru-RU"/>
        </w:rPr>
        <w:t>функцию подсчета входящих в спортивный зал посетителей с целью контроля заполняемости спортивного комплекса».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Потребности заказчика будет удовлетворять любое программное обеспечение, которое обеспечит функционал, описанный в разделе 5 описания объекта закупки.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в ходе рассмотрения жалобы было установлено, что закупаемый по коду ОКПД2 25.11.10.000 спортивный комплекс, имеющий в своем составе оборудование с программным обеспечением (разделы 1, 5 Описания объекта закупки), попадает под действие Постановления № 1236.</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Относительно довода заявителя жалобы о соответствии программного обеспечения единственному производителю необходимо отметить, что ООО «Строй-Электромонтаж-21» не представлено доказательств в подтверждение обоснованности своих доводов.</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письменных пояснениях заказчик указал на совместимость закупаемого ПО нескольким ПО, находящимся в реестре российского программного обеспечения по автоматизированной системе управления освещением: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ЦЫШЮНТ (номер реестровой записи № 3026 от 14.03.2017);</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Гелиос (номер реестровой записи № 1666 от 05.09.2016);</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Цифровая платформа управления и мониторинга ^^д^С^^у (номер реестровой записи № 9401 от 01.03.2021).</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 системе видеонаблюдения: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^от^па^^оп (номер реестровой записи № 1786 от 06.09.2016);</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Тгаззй’ (номер реестровой записи № 1615 от 05.09.2016);</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Интеллектуальная система видеонаблюдения «Видеоинтеллект» (номер реестровой записи № 5592 от 26.07.2019);</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Интеллектуальная система видеонаблюдения ^1о8аV-Р^о (номер реестровой записи № 10644 от 27.05.2021).</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Калужского УФАС России приходит к выводу о необоснованности данных доводов жалобы Общества.</w:t>
      </w:r>
    </w:p>
    <w:p>
      <w:pPr>
        <w:pStyle w:val="Style15"/>
        <w:keepNext w:val="0"/>
        <w:keepLines w:val="0"/>
        <w:widowControl w:val="0"/>
        <w:numPr>
          <w:ilvl w:val="0"/>
          <w:numId w:val="3"/>
        </w:numPr>
        <w:shd w:val="clear" w:color="auto" w:fill="auto"/>
        <w:tabs>
          <w:tab w:pos="93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доводам жалобы Заявителя, проектом контракта предусмотрена Спецификация, согласно которой поставляться должны 17 модулей. Однако, п. 1 таблицы 6 Описания объекта закупки предусмотрена поставка еще одного комплекта модуля - Модульное административно-бытовое сооружение, которое отсутствует в проект контракта.</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ходе рассмотрения жалобы по существу, Комиссия Калужского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Формирование закупки модульного спортивного сооружения осуществляется в соответствие с приказом Министерства спорта Российской Федерации от 15.02.2022 № 107.</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пояснениями заказчика, модуль «административно-бытовое сооружение» является составным из 17 модулей. В соответствии с Приказом № 107 при монтаже модулей будет сформирован модуль «административно-бытовое сооружение» с конкретными характеристиками, которые и указаны в описании объекта закупки (п. 4.1. перечня спортивно-технологического оборудования для создания «умной» спортивной площадки, утвержденного Приказом № 107).</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описанию закупки, таблица 6 номер 1. «Модульное административно-бытовое сооружение» аккумулирует в себе основные ТЭПы, колористические решения фасадной части модулей и тип ограждающих конструкций. Далее по таблице идет раскрытие модульности данного сооружения.</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вышеизложенного, Комиссия Калужского УФАС России приходит к выводу о необоснованности данного довода жалобы Общества.</w:t>
      </w:r>
    </w:p>
    <w:p>
      <w:pPr>
        <w:pStyle w:val="Style15"/>
        <w:keepNext w:val="0"/>
        <w:keepLines w:val="0"/>
        <w:widowControl w:val="0"/>
        <w:numPr>
          <w:ilvl w:val="0"/>
          <w:numId w:val="3"/>
        </w:numPr>
        <w:shd w:val="clear" w:color="auto" w:fill="auto"/>
        <w:tabs>
          <w:tab w:pos="93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доводам жалобы Заявителя, Заказчиком установлены требования о соответствии недействующим нормативным документам: СанПиН 2.1.2.2645-10, СП52.13330.2001, СП 118.13330.2012.</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2 части 1 статьи 33 Федерального закона от 05.04.2013 № 44- 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Описании объекта закупки заказчиком было установлено следующее соответствие стандартам и нормам:</w:t>
      </w:r>
    </w:p>
    <w:p>
      <w:pPr>
        <w:pStyle w:val="Style15"/>
        <w:keepNext w:val="0"/>
        <w:keepLines w:val="0"/>
        <w:widowControl w:val="0"/>
        <w:numPr>
          <w:ilvl w:val="0"/>
          <w:numId w:val="7"/>
        </w:numPr>
        <w:shd w:val="clear" w:color="auto" w:fill="auto"/>
        <w:tabs>
          <w:tab w:pos="77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СП 118.13330.2012 - Документ </w:t>
      </w:r>
      <w:r>
        <w:rPr>
          <w:b/>
          <w:bCs/>
          <w:color w:val="000000"/>
          <w:spacing w:val="0"/>
          <w:w w:val="100"/>
          <w:position w:val="0"/>
          <w:sz w:val="24"/>
          <w:szCs w:val="24"/>
          <w:shd w:val="clear" w:color="auto" w:fill="auto"/>
          <w:lang w:val="ru-RU" w:eastAsia="ru-RU" w:bidi="ru-RU"/>
        </w:rPr>
        <w:t xml:space="preserve">утратил силу </w:t>
      </w:r>
      <w:r>
        <w:rPr>
          <w:color w:val="000000"/>
          <w:spacing w:val="0"/>
          <w:w w:val="100"/>
          <w:position w:val="0"/>
          <w:sz w:val="24"/>
          <w:szCs w:val="24"/>
          <w:shd w:val="clear" w:color="auto" w:fill="auto"/>
          <w:lang w:val="ru-RU" w:eastAsia="ru-RU" w:bidi="ru-RU"/>
        </w:rPr>
        <w:t>полностью с 01.09.2022 в связи с изданием Приказа Минстроя России от 19.05.2022 ^ 389/пр, утвердившего новый Свод правил СП 118.13330.2022, и Постановления Правительства РФ от 20.05.2022 ^ 914, исключившего данный документ из Перечня национальных стандартов и сводов правил, утвержденного Постановлением Правительства РФ от 28.05.2021 ^ 815;</w:t>
      </w:r>
    </w:p>
    <w:p>
      <w:pPr>
        <w:pStyle w:val="Style15"/>
        <w:keepNext w:val="0"/>
        <w:keepLines w:val="0"/>
        <w:widowControl w:val="0"/>
        <w:numPr>
          <w:ilvl w:val="0"/>
          <w:numId w:val="7"/>
        </w:numPr>
        <w:shd w:val="clear" w:color="auto" w:fill="auto"/>
        <w:tabs>
          <w:tab w:pos="77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СанПиН 2.1.2.2645-10 - Документ </w:t>
      </w:r>
      <w:r>
        <w:rPr>
          <w:b/>
          <w:bCs/>
          <w:color w:val="000000"/>
          <w:spacing w:val="0"/>
          <w:w w:val="100"/>
          <w:position w:val="0"/>
          <w:sz w:val="24"/>
          <w:szCs w:val="24"/>
          <w:shd w:val="clear" w:color="auto" w:fill="auto"/>
          <w:lang w:val="ru-RU" w:eastAsia="ru-RU" w:bidi="ru-RU"/>
        </w:rPr>
        <w:t xml:space="preserve">утратил силу </w:t>
      </w:r>
      <w:r>
        <w:rPr>
          <w:color w:val="000000"/>
          <w:spacing w:val="0"/>
          <w:w w:val="100"/>
          <w:position w:val="0"/>
          <w:sz w:val="24"/>
          <w:szCs w:val="24"/>
          <w:shd w:val="clear" w:color="auto" w:fill="auto"/>
          <w:lang w:val="ru-RU" w:eastAsia="ru-RU" w:bidi="ru-RU"/>
        </w:rPr>
        <w:t>с 1 марта 2021 года в связи с изданием Постановления Правительства РФ от 08.10.2020 ^ 1631. Санитарно-эпидемиологические требования к устройству, оборудованию и содержанию зданий и помещений (СанПиН 2.1.3684-21) утв. Постановлением Главного государственного санитарного врача РФ от 28.01.2021 ^ 3.</w:t>
      </w:r>
    </w:p>
    <w:p>
      <w:pPr>
        <w:pStyle w:val="Style15"/>
        <w:keepNext w:val="0"/>
        <w:keepLines w:val="0"/>
        <w:widowControl w:val="0"/>
        <w:numPr>
          <w:ilvl w:val="0"/>
          <w:numId w:val="7"/>
        </w:numPr>
        <w:shd w:val="clear" w:color="auto" w:fill="auto"/>
        <w:tabs>
          <w:tab w:pos="76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СП52.13330.2001 - согласно пояснениям заказчика, в номере свода правил допущена </w:t>
      </w:r>
      <w:r>
        <w:rPr>
          <w:b/>
          <w:bCs/>
          <w:color w:val="000000"/>
          <w:spacing w:val="0"/>
          <w:w w:val="100"/>
          <w:position w:val="0"/>
          <w:sz w:val="24"/>
          <w:szCs w:val="24"/>
          <w:shd w:val="clear" w:color="auto" w:fill="auto"/>
          <w:lang w:val="ru-RU" w:eastAsia="ru-RU" w:bidi="ru-RU"/>
        </w:rPr>
        <w:t>опечатка</w:t>
      </w:r>
      <w:r>
        <w:rPr>
          <w:color w:val="000000"/>
          <w:spacing w:val="0"/>
          <w:w w:val="100"/>
          <w:position w:val="0"/>
          <w:sz w:val="24"/>
          <w:szCs w:val="24"/>
          <w:shd w:val="clear" w:color="auto" w:fill="auto"/>
          <w:lang w:val="ru-RU" w:eastAsia="ru-RU" w:bidi="ru-RU"/>
        </w:rPr>
        <w:t>, следовало указать - СП52.13330.2016.</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Вместе с тем, согласно части 3 статьи 7 Федерального закона от 05.04.2013 № 44-ФЗ Информация, предусмотренная настоящим Федеральным законом и размещенная в единой информационной системе, должна быть </w:t>
      </w:r>
      <w:r>
        <w:rPr>
          <w:b/>
          <w:bCs/>
          <w:color w:val="000000"/>
          <w:spacing w:val="0"/>
          <w:w w:val="100"/>
          <w:position w:val="0"/>
          <w:sz w:val="24"/>
          <w:szCs w:val="24"/>
          <w:shd w:val="clear" w:color="auto" w:fill="auto"/>
          <w:lang w:val="ru-RU" w:eastAsia="ru-RU" w:bidi="ru-RU"/>
        </w:rPr>
        <w:t>полной и достоверной</w:t>
      </w:r>
      <w:r>
        <w:rPr>
          <w:color w:val="000000"/>
          <w:spacing w:val="0"/>
          <w:w w:val="100"/>
          <w:position w:val="0"/>
          <w:sz w:val="24"/>
          <w:szCs w:val="24"/>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Часть 2 статьи 8 Федерального закона от 05.04.2013 № 44-ФЗ запрещает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w:t>
      </w:r>
      <w:r>
        <w:rPr>
          <w:b/>
          <w:bCs/>
          <w:color w:val="000000"/>
          <w:spacing w:val="0"/>
          <w:w w:val="100"/>
          <w:position w:val="0"/>
          <w:sz w:val="24"/>
          <w:szCs w:val="24"/>
          <w:shd w:val="clear" w:color="auto" w:fill="auto"/>
          <w:lang w:val="ru-RU" w:eastAsia="ru-RU" w:bidi="ru-RU"/>
        </w:rPr>
        <w:t>любых действий, которые противоречат требованиям настоящего Федерального закона</w:t>
      </w:r>
      <w:r>
        <w:rPr>
          <w:color w:val="000000"/>
          <w:spacing w:val="0"/>
          <w:w w:val="100"/>
          <w:position w:val="0"/>
          <w:sz w:val="24"/>
          <w:szCs w:val="24"/>
          <w:shd w:val="clear" w:color="auto" w:fill="auto"/>
          <w:lang w:val="ru-RU" w:eastAsia="ru-RU" w:bidi="ru-RU"/>
        </w:rPr>
        <w:t>,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в нарушение вышеуказанных норм Закона, Заказчиком в Описании объекта закупки указано на соответствие выполняемых работ недействующим нормам и правилам, данный довод жалобы признается Комиссией обоснованным.</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вышеизложенного Комиссия Калужского УФАС России приходит к выводу о нарушении Заказчиком пункта 2 части 1 статьи 33, части 3 статьи 7, часть 2 статьи 8 Федерального закона от 05.04.2013 № 44-ФЗ, что содержит признаки состава административного правонарушения, предусмотренного ч.1.4 ст. 7.30 КоАП РФ.</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Калужского УФАС России также отмечает тот факт, что указание на недействующие нормативные документы не препятствовало подаче заявки на участие в аукционе, а также не могло повлиять на результат определения поставщика (подрядчика, исполнителя).</w:t>
      </w:r>
      <w:r>
        <w:br w:type="page"/>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Кроме того, извещением об осуществлении закупки не установлено требований о представлении в составе заявке информации о нормативных документах.</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 учетом изложенного, Комиссия считает возможным указание действующих нормативных документов на этапе заключения контракта путем приведения проекта контракта в соответствие с действующим законодательством.</w:t>
      </w:r>
    </w:p>
    <w:p>
      <w:pPr>
        <w:pStyle w:val="Style15"/>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z w:val="24"/>
          <w:szCs w:val="24"/>
          <w:shd w:val="clear" w:color="auto" w:fill="auto"/>
          <w:lang w:val="ru-RU" w:eastAsia="ru-RU" w:bidi="ru-RU"/>
        </w:rPr>
        <w:t>решила:</w:t>
      </w:r>
    </w:p>
    <w:p>
      <w:pPr>
        <w:pStyle w:val="Style15"/>
        <w:keepNext w:val="0"/>
        <w:keepLines w:val="0"/>
        <w:widowControl w:val="0"/>
        <w:numPr>
          <w:ilvl w:val="0"/>
          <w:numId w:val="9"/>
        </w:numPr>
        <w:shd w:val="clear" w:color="auto" w:fill="auto"/>
        <w:tabs>
          <w:tab w:pos="934"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Признать жалобу ООО «Строй-Электромонтаж-21» </w:t>
      </w:r>
      <w:r>
        <w:rPr>
          <w:b/>
          <w:bCs/>
          <w:color w:val="000000"/>
          <w:spacing w:val="0"/>
          <w:w w:val="100"/>
          <w:position w:val="0"/>
          <w:sz w:val="24"/>
          <w:szCs w:val="24"/>
          <w:shd w:val="clear" w:color="auto" w:fill="auto"/>
          <w:lang w:val="ru-RU" w:eastAsia="ru-RU" w:bidi="ru-RU"/>
        </w:rPr>
        <w:t xml:space="preserve">обоснованной в части </w:t>
      </w:r>
      <w:r>
        <w:rPr>
          <w:color w:val="000000"/>
          <w:spacing w:val="0"/>
          <w:w w:val="100"/>
          <w:position w:val="0"/>
          <w:sz w:val="24"/>
          <w:szCs w:val="24"/>
          <w:shd w:val="clear" w:color="auto" w:fill="auto"/>
          <w:lang w:val="ru-RU" w:eastAsia="ru-RU" w:bidi="ru-RU"/>
        </w:rPr>
        <w:t>доводов, указанных в пункте 4 мотивировочной части настоящего решения.</w:t>
      </w:r>
    </w:p>
    <w:p>
      <w:pPr>
        <w:pStyle w:val="Style15"/>
        <w:keepNext w:val="0"/>
        <w:keepLines w:val="0"/>
        <w:widowControl w:val="0"/>
        <w:numPr>
          <w:ilvl w:val="0"/>
          <w:numId w:val="9"/>
        </w:numPr>
        <w:shd w:val="clear" w:color="auto" w:fill="auto"/>
        <w:tabs>
          <w:tab w:pos="92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в действиях Заказчика - Министерство спорта Калужской области нарушение пункта 2 части 1 статьи 33, части 3 статьи 7, часть 2 статьи 8 Федерального закона от 05.04.2013 № 44-ФЗ.</w:t>
      </w:r>
    </w:p>
    <w:p>
      <w:pPr>
        <w:pStyle w:val="Style15"/>
        <w:keepNext w:val="0"/>
        <w:keepLines w:val="0"/>
        <w:widowControl w:val="0"/>
        <w:numPr>
          <w:ilvl w:val="0"/>
          <w:numId w:val="9"/>
        </w:numPr>
        <w:shd w:val="clear" w:color="auto" w:fill="auto"/>
        <w:tabs>
          <w:tab w:pos="92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Выдать Заказчику - Министерству спорта Калужской области предписание о внесении изменений в проект контракта с учетом пункта 4 мотивировочной части решения и повторного его направления победителю процедуры закупки.</w:t>
      </w:r>
    </w:p>
    <w:p>
      <w:pPr>
        <w:pStyle w:val="Style15"/>
        <w:keepNext w:val="0"/>
        <w:keepLines w:val="0"/>
        <w:widowControl w:val="0"/>
        <w:numPr>
          <w:ilvl w:val="0"/>
          <w:numId w:val="9"/>
        </w:numPr>
        <w:shd w:val="clear" w:color="auto" w:fill="auto"/>
        <w:tabs>
          <w:tab w:pos="92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Оператору электронной площадки обеспечить возможность внесения изменений в проект контракта и повторного его направления победителю процедуры закупки.</w:t>
      </w:r>
    </w:p>
    <w:p>
      <w:pPr>
        <w:pStyle w:val="Style15"/>
        <w:keepNext w:val="0"/>
        <w:keepLines w:val="0"/>
        <w:widowControl w:val="0"/>
        <w:numPr>
          <w:ilvl w:val="0"/>
          <w:numId w:val="9"/>
        </w:numPr>
        <w:shd w:val="clear" w:color="auto" w:fill="auto"/>
        <w:tabs>
          <w:tab w:pos="925" w:val="left"/>
        </w:tabs>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6" w:right="541" w:bottom="1188" w:left="1097" w:header="0" w:footer="3" w:gutter="0"/>
          <w:cols w:space="720"/>
          <w:noEndnote/>
          <w:rtlGutter w:val="0"/>
          <w:docGrid w:linePitch="360"/>
        </w:sectPr>
      </w:pPr>
      <w:r>
        <mc:AlternateContent>
          <mc:Choice Requires="wps">
            <w:drawing>
              <wp:anchor distT="76200" distB="381000" distL="0" distR="0" simplePos="0" relativeHeight="125829384" behindDoc="0" locked="0" layoutInCell="1" allowOverlap="1">
                <wp:simplePos x="0" y="0"/>
                <wp:positionH relativeFrom="page">
                  <wp:posOffset>704215</wp:posOffset>
                </wp:positionH>
                <wp:positionV relativeFrom="paragraph">
                  <wp:posOffset>76200</wp:posOffset>
                </wp:positionV>
                <wp:extent cx="1673225" cy="225425"/>
                <wp:wrapTopAndBottom/>
                <wp:docPr id="11" name="Shape 11"/>
                <a:graphic xmlns:a="http://schemas.openxmlformats.org/drawingml/2006/main">
                  <a:graphicData uri="http://schemas.microsoft.com/office/word/2010/wordprocessingShape">
                    <wps:wsp>
                      <wps:cNvSpPr txBox="1"/>
                      <wps:spPr>
                        <a:xfrm>
                          <a:ext cx="167322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5.450000000000003pt;margin-top:6.pt;width:131.75pt;height:17.75pt;z-index:-125829369;mso-wrap-distance-left:0;mso-wrap-distance-top:6.pt;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46050" distB="0" distL="0" distR="1786255" simplePos="0" relativeHeight="125829386" behindDoc="0" locked="0" layoutInCell="1" allowOverlap="1">
            <wp:simplePos x="0" y="0"/>
            <wp:positionH relativeFrom="page">
              <wp:posOffset>2920365</wp:posOffset>
            </wp:positionH>
            <wp:positionV relativeFrom="paragraph">
              <wp:posOffset>146050</wp:posOffset>
            </wp:positionV>
            <wp:extent cx="34734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7"/>
                    <a:stretch/>
                  </pic:blipFill>
                  <pic:spPr>
                    <a:xfrm>
                      <a:ext cx="34734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3371215</wp:posOffset>
                </wp:positionH>
                <wp:positionV relativeFrom="paragraph">
                  <wp:posOffset>548640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65.44999999999999pt;margin-top:43.200000000000003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3328670</wp:posOffset>
                </wp:positionH>
                <wp:positionV relativeFrom="paragraph">
                  <wp:posOffset>237490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62.10000000000002pt;margin-top:18.69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76200" distB="381000" distL="0" distR="0" simplePos="0" relativeHeight="125829387" behindDoc="0" locked="0" layoutInCell="1" allowOverlap="1">
                <wp:simplePos x="0" y="0"/>
                <wp:positionH relativeFrom="page">
                  <wp:posOffset>5191125</wp:posOffset>
                </wp:positionH>
                <wp:positionV relativeFrom="paragraph">
                  <wp:posOffset>76200</wp:posOffset>
                </wp:positionV>
                <wp:extent cx="972185" cy="225425"/>
                <wp:wrapTopAndBottom/>
                <wp:docPr id="19" name="Shape 19"/>
                <a:graphic xmlns:a="http://schemas.openxmlformats.org/drawingml/2006/main">
                  <a:graphicData uri="http://schemas.microsoft.com/office/word/2010/wordprocessingShape">
                    <wps:wsp>
                      <wps:cNvSpPr txBox="1"/>
                      <wps:spPr>
                        <a:xfrm>
                          <a:ext cx="972185"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45" type="#_x0000_t202" style="position:absolute;margin-left:408.75pt;margin-top:6.pt;width:76.549999999999997pt;height:17.75pt;z-index:-125829366;mso-wrap-distance-left:0;mso-wrap-distance-top:6.pt;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Чуриков</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left="0" w:right="0" w:firstLine="0"/>
        <w:jc w:val="center"/>
        <w:rPr>
          <w:sz w:val="11"/>
          <w:szCs w:val="11"/>
        </w:rPr>
      </w:pPr>
      <w:r>
        <w:rPr>
          <w:color w:val="222222"/>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Чуриков Максим Александрович</w:t>
      </w:r>
    </w:p>
    <w:p>
      <w:pPr>
        <w:pStyle w:val="Style30"/>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ЗАО4Е8323С724В46А443О45Е904Е2547</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с </w:t>
      </w:r>
      <w:r>
        <w:rPr>
          <w:color w:val="636363"/>
          <w:spacing w:val="0"/>
          <w:w w:val="100"/>
          <w:position w:val="0"/>
          <w:shd w:val="clear" w:color="auto" w:fill="auto"/>
          <w:lang w:val="ru-RU" w:eastAsia="ru-RU" w:bidi="ru-RU"/>
        </w:rPr>
        <w:t>07.11</w:t>
      </w:r>
      <w:r>
        <w:rPr>
          <w:color w:val="222222"/>
          <w:spacing w:val="0"/>
          <w:w w:val="100"/>
          <w:position w:val="0"/>
          <w:shd w:val="clear" w:color="auto" w:fill="auto"/>
          <w:lang w:val="ru-RU" w:eastAsia="ru-RU" w:bidi="ru-RU"/>
        </w:rPr>
        <w:t xml:space="preserve">.2022 </w:t>
      </w:r>
      <w:r>
        <w:rPr>
          <w:color w:val="8E8E8E"/>
          <w:spacing w:val="0"/>
          <w:w w:val="100"/>
          <w:position w:val="0"/>
          <w:shd w:val="clear" w:color="auto" w:fill="auto"/>
          <w:lang w:val="ru-RU" w:eastAsia="ru-RU" w:bidi="ru-RU"/>
        </w:rPr>
        <w:t>по 31</w:t>
      </w:r>
      <w:r>
        <w:rPr>
          <w:spacing w:val="0"/>
          <w:w w:val="100"/>
          <w:position w:val="0"/>
          <w:shd w:val="clear" w:color="auto" w:fill="auto"/>
          <w:lang w:val="ru-RU" w:eastAsia="ru-RU" w:bidi="ru-RU"/>
        </w:rPr>
        <w:t>.01</w:t>
      </w:r>
      <w:r>
        <w:rPr>
          <w:color w:val="222222"/>
          <w:spacing w:val="0"/>
          <w:w w:val="100"/>
          <w:position w:val="0"/>
          <w:shd w:val="clear" w:color="auto" w:fill="auto"/>
          <w:lang w:val="ru-RU" w:eastAsia="ru-RU" w:bidi="ru-RU"/>
        </w:rPr>
        <w:t>.2024</w:t>
      </w:r>
    </w:p>
    <w:p>
      <w:pPr>
        <w:widowControl w:val="0"/>
        <w:spacing w:line="1" w:lineRule="exact"/>
        <w:sectPr>
          <w:footnotePr>
            <w:pos w:val="pageBottom"/>
            <w:numFmt w:val="decimal"/>
            <w:numRestart w:val="continuous"/>
          </w:footnotePr>
          <w:type w:val="continuous"/>
          <w:pgSz w:w="11900" w:h="16840"/>
          <w:pgMar w:top="1110" w:right="541" w:bottom="1779" w:left="1101" w:header="0" w:footer="3" w:gutter="0"/>
          <w:cols w:space="720"/>
          <w:noEndnote/>
          <w:rtlGutter w:val="0"/>
          <w:docGrid w:linePitch="360"/>
        </w:sectPr>
      </w:pPr>
      <w:r>
        <mc:AlternateContent>
          <mc:Choice Requires="wps">
            <w:drawing>
              <wp:anchor distT="0" distB="381000" distL="0" distR="0" simplePos="0" relativeHeight="125829389" behindDoc="0" locked="0" layoutInCell="1" allowOverlap="1">
                <wp:simplePos x="0" y="0"/>
                <wp:positionH relativeFrom="page">
                  <wp:posOffset>704215</wp:posOffset>
                </wp:positionH>
                <wp:positionV relativeFrom="paragraph">
                  <wp:posOffset>0</wp:posOffset>
                </wp:positionV>
                <wp:extent cx="1195070" cy="225425"/>
                <wp:wrapTopAndBottom/>
                <wp:docPr id="21" name="Shape 21"/>
                <a:graphic xmlns:a="http://schemas.openxmlformats.org/drawingml/2006/main">
                  <a:graphicData uri="http://schemas.microsoft.com/office/word/2010/wordprocessingShape">
                    <wps:wsp>
                      <wps:cNvSpPr txBox="1"/>
                      <wps:spPr>
                        <a:xfrm>
                          <a:ext cx="119507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7" type="#_x0000_t202" style="position:absolute;margin-left:55.450000000000003pt;margin-top:0;width:94.100000000000009pt;height:17.75pt;z-index:-125829364;mso-wrap-distance-left:0;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73025" distB="0" distL="0" distR="1786255" simplePos="0" relativeHeight="125829391" behindDoc="0" locked="0" layoutInCell="1" allowOverlap="1">
            <wp:simplePos x="0" y="0"/>
            <wp:positionH relativeFrom="page">
              <wp:posOffset>2920365</wp:posOffset>
            </wp:positionH>
            <wp:positionV relativeFrom="paragraph">
              <wp:posOffset>73025</wp:posOffset>
            </wp:positionV>
            <wp:extent cx="347345" cy="5365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34734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3371215</wp:posOffset>
                </wp:positionH>
                <wp:positionV relativeFrom="paragraph">
                  <wp:posOffset>472440</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65.44999999999999pt;margin-top:37.200000000000003pt;width:101.3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3328670</wp:posOffset>
                </wp:positionH>
                <wp:positionV relativeFrom="paragraph">
                  <wp:posOffset>161290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2.10000000000002pt;margin-top:12.70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81000" distL="0" distR="0" simplePos="0" relativeHeight="125829392" behindDoc="0" locked="0" layoutInCell="1" allowOverlap="1">
                <wp:simplePos x="0" y="0"/>
                <wp:positionH relativeFrom="page">
                  <wp:posOffset>5191125</wp:posOffset>
                </wp:positionH>
                <wp:positionV relativeFrom="paragraph">
                  <wp:posOffset>0</wp:posOffset>
                </wp:positionV>
                <wp:extent cx="938530" cy="225425"/>
                <wp:wrapTopAndBottom/>
                <wp:docPr id="29" name="Shape 29"/>
                <a:graphic xmlns:a="http://schemas.openxmlformats.org/drawingml/2006/main">
                  <a:graphicData uri="http://schemas.microsoft.com/office/word/2010/wordprocessingShape">
                    <wps:wsp>
                      <wps:cNvSpPr txBox="1"/>
                      <wps:spPr>
                        <a:xfrm>
                          <a:ext cx="93853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Ю.П. Умнова</w:t>
                            </w:r>
                          </w:p>
                        </w:txbxContent>
                      </wps:txbx>
                      <wps:bodyPr wrap="none" lIns="0" tIns="0" rIns="0" bIns="0">
                        <a:noAutoFit/>
                      </wps:bodyPr>
                    </wps:wsp>
                  </a:graphicData>
                </a:graphic>
              </wp:anchor>
            </w:drawing>
          </mc:Choice>
          <mc:Fallback>
            <w:pict>
              <v:shape id="_x0000_s1055" type="#_x0000_t202" style="position:absolute;margin-left:408.75pt;margin-top:0;width:73.900000000000006pt;height:17.75pt;z-index:-125829361;mso-wrap-distance-left:0;mso-wrap-distance-right:0;mso-wrap-distance-bottom:30.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Ю.П. Умнова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Умнова Юлия Петровна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72080Е0В4С7ЕС37А91</w:t>
      </w:r>
      <w:r>
        <w:rPr>
          <w:color w:val="222222"/>
          <w:spacing w:val="0"/>
          <w:w w:val="100"/>
          <w:position w:val="0"/>
          <w:shd w:val="clear" w:color="auto" w:fill="auto"/>
          <w:lang w:val="ru-RU" w:eastAsia="ru-RU" w:bidi="ru-RU"/>
        </w:rPr>
        <w:t>Е6А291</w:t>
      </w:r>
      <w:r>
        <w:rPr>
          <w:color w:val="636363"/>
          <w:spacing w:val="0"/>
          <w:w w:val="100"/>
          <w:position w:val="0"/>
          <w:shd w:val="clear" w:color="auto" w:fill="auto"/>
          <w:lang w:val="ru-RU" w:eastAsia="ru-RU" w:bidi="ru-RU"/>
        </w:rPr>
        <w:t>СВ52О78А</w:t>
      </w:r>
    </w:p>
    <w:p>
      <w:pPr>
        <w:pStyle w:val="Style30"/>
        <w:keepNext w:val="0"/>
        <w:keepLines w:val="0"/>
        <w:widowControl w:val="0"/>
        <w:shd w:val="clear" w:color="auto" w:fill="auto"/>
        <w:bidi w:val="0"/>
        <w:spacing w:before="0" w:after="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02.02.2023 </w:t>
      </w:r>
      <w:r>
        <w:rPr>
          <w:color w:val="8E8E8E"/>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27.04.2024</w:t>
      </w:r>
    </w:p>
    <w:p>
      <w:pPr>
        <w:pStyle w:val="Style15"/>
        <w:keepNext w:val="0"/>
        <w:keepLines w:val="0"/>
        <w:widowControl w:val="0"/>
        <w:shd w:val="clear" w:color="auto" w:fill="auto"/>
        <w:bidi w:val="0"/>
        <w:spacing w:before="0" w:after="660" w:line="240" w:lineRule="auto"/>
        <w:ind w:left="0" w:right="0" w:firstLine="0"/>
        <w:jc w:val="left"/>
      </w:pPr>
      <w:r>
        <w:drawing>
          <wp:anchor distT="0" distB="0" distL="114300" distR="1900555" simplePos="0" relativeHeight="125829394" behindDoc="0" locked="0" layoutInCell="1" allowOverlap="1">
            <wp:simplePos x="0" y="0"/>
            <wp:positionH relativeFrom="page">
              <wp:posOffset>2920365</wp:posOffset>
            </wp:positionH>
            <wp:positionV relativeFrom="paragraph">
              <wp:posOffset>50800</wp:posOffset>
            </wp:positionV>
            <wp:extent cx="34734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1"/>
                    <a:stretch/>
                  </pic:blipFill>
                  <pic:spPr>
                    <a:xfrm>
                      <a:ext cx="34734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3371215</wp:posOffset>
                </wp:positionH>
                <wp:positionV relativeFrom="paragraph">
                  <wp:posOffset>453390</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65.44999999999999pt;margin-top:35.700000000000003pt;width:101.05pt;height:8.15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3328670</wp:posOffset>
                </wp:positionH>
                <wp:positionV relativeFrom="paragraph">
                  <wp:posOffset>142240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2.10000000000002pt;margin-top:11.20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Васильев</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Васильев Александр Анатольевич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00В42ЕА8Е4СС872АСЕ1А3643ВА3757ЕВ9</w:t>
      </w:r>
      <w:r>
        <w:rPr>
          <w:color w:val="222222"/>
          <w:spacing w:val="0"/>
          <w:w w:val="100"/>
          <w:position w:val="0"/>
          <w:shd w:val="clear" w:color="auto" w:fill="auto"/>
          <w:lang w:val="ru-RU" w:eastAsia="ru-RU" w:bidi="ru-RU"/>
        </w:rPr>
        <w:t>1</w:t>
      </w:r>
    </w:p>
    <w:p>
      <w:pPr>
        <w:pStyle w:val="Style30"/>
        <w:keepNext w:val="0"/>
        <w:keepLines w:val="0"/>
        <w:widowControl w:val="0"/>
        <w:shd w:val="clear" w:color="auto" w:fill="auto"/>
        <w:bidi w:val="0"/>
        <w:spacing w:before="0" w:after="130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02.02.2023 </w:t>
      </w:r>
      <w:r>
        <w:rPr>
          <w:color w:val="8E8E8E"/>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27.04.2024</w:t>
      </w:r>
    </w:p>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Исп.Умнова Ю.П.</w:t>
      </w:r>
    </w:p>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тел.(4842) 57-48-50, вн.040-040</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10043795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90.8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2023-2170</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Основной текст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color w:val="222222"/>
      <w:sz w:val="11"/>
      <w:szCs w:val="11"/>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sz w:val="32"/>
      <w:szCs w:val="32"/>
      <w:u w:val="none"/>
    </w:rPr>
  </w:style>
  <w:style w:type="character" w:customStyle="1" w:styleId="CharStyle31">
    <w:name w:val="Основной текст (3)_"/>
    <w:basedOn w:val="DefaultParagraphFont"/>
    <w:link w:val="Style30"/>
    <w:rPr>
      <w:rFonts w:ascii="Arial" w:eastAsia="Arial" w:hAnsi="Arial" w:cs="Arial"/>
      <w:b w:val="0"/>
      <w:bCs w:val="0"/>
      <w:i w:val="0"/>
      <w:iCs w:val="0"/>
      <w:smallCaps w:val="0"/>
      <w:strike w:val="0"/>
      <w:color w:val="4B4B4B"/>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16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Заголовок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5)"/>
    <w:basedOn w:val="Normal"/>
    <w:link w:val="CharStyle14"/>
    <w:pPr>
      <w:widowControl w:val="0"/>
      <w:shd w:val="clear" w:color="auto" w:fill="auto"/>
      <w:spacing w:after="620" w:line="276" w:lineRule="auto"/>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Основной текст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222222"/>
      <w:sz w:val="11"/>
      <w:szCs w:val="11"/>
      <w:u w:val="none"/>
    </w:rPr>
  </w:style>
  <w:style w:type="paragraph" w:customStyle="1" w:styleId="Style26">
    <w:name w:val="Заголовок №1"/>
    <w:basedOn w:val="Normal"/>
    <w:link w:val="CharStyle27"/>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30">
    <w:name w:val="Основной текст (3)"/>
    <w:basedOn w:val="Normal"/>
    <w:link w:val="CharStyle31"/>
    <w:pPr>
      <w:widowControl w:val="0"/>
      <w:shd w:val="clear" w:color="auto" w:fill="auto"/>
      <w:ind w:left="3500"/>
    </w:pPr>
    <w:rPr>
      <w:rFonts w:ascii="Arial" w:eastAsia="Arial" w:hAnsi="Arial" w:cs="Arial"/>
      <w:b w:val="0"/>
      <w:bCs w:val="0"/>
      <w:i w:val="0"/>
      <w:iCs w:val="0"/>
      <w:smallCaps w:val="0"/>
      <w:strike w:val="0"/>
      <w:color w:val="4B4B4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