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1871980</wp:posOffset>
            </wp:positionH>
            <wp:positionV relativeFrom="paragraph">
              <wp:posOffset>12700</wp:posOffset>
            </wp:positionV>
            <wp:extent cx="536575" cy="64643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4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6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797" w:right="1090" w:bottom="2039" w:left="3792" w:header="369" w:footer="1611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НЦН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е-шаП: 1о77@Га8.§оу.ш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underscore" w:pos="1812" w:val="left"/>
          <w:tab w:leader="underscore" w:pos="4037" w:val="left"/>
        </w:tabs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V1ад^7700@таП.ш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«МЕДИЦИНСКИЕ РАСХОДНЫЕ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МАТЕРИАЛЫ»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тедхакирЫ@дтаП.сот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7" w:right="1287" w:bottom="2039" w:left="1234" w:header="0" w:footer="3" w:gutter="0"/>
          <w:cols w:num="2" w:space="720" w:equalWidth="0">
            <w:col w:w="4176" w:space="432"/>
            <w:col w:w="4771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ко@г!8-1епдег.ги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0" w:bottom="15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№077/06/106-ЕМ7/2023 об устранении нарушений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4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05.05.2023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05.05.2023 по делу №077/06/106- ЕМ7/2023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«МЕД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ИЦИ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НСКИЕ РАСХОДНЫЕ МАТЕРИАЛЫ» (далее — Заявитель) на действия ФГБНУ НЦН (далее — Заказчик) при проведении электронного аукциона на право заключения государственного контракта на поставку электродов нейтральных одноразовых самоклеящихся (Закупка № 0373100078723000178)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при заключении, а также при исполнении государственного контракта по результатам проведения электронного аукциона №0373100078723000178 не учитывать неправомерные требования в соответствии с мотивировочной частью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05.05.2023 по делу №077/06/106-ЕМ7/2023.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осуществить дальнейшее проведение процедуры осуществления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05.05.2023 по делу №077/06/106-ЕМ7/2023.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срок до 0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й)77@Та*.доу.ги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 (Арбитражный суд) в соответствии с законодательством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002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227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Н.А. Узкий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3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38" w:right="1093" w:bottom="1534" w:left="1107" w:header="710" w:footer="110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9"/>
      <w:szCs w:val="19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28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9"/>
      <w:szCs w:val="19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