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80" w:h="461" w:wrap="none" w:hAnchor="page" w:x="1935" w:y="1139"/>
        <w:widowControl w:val="0"/>
        <w:shd w:val="clear" w:color="auto" w:fill="auto"/>
        <w:bidi w:val="0"/>
        <w:spacing w:before="0" w:after="4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r>
    </w:p>
    <w:p>
      <w:pPr>
        <w:pStyle w:val="Style2"/>
        <w:keepNext w:val="0"/>
        <w:keepLines w:val="0"/>
        <w:framePr w:w="2880" w:h="461" w:wrap="none" w:hAnchor="page" w:x="1935" w:y="1139"/>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АНТИМОНОПОЛЬНАЯ СЛУЖБА</w:t>
      </w:r>
    </w:p>
    <w:p>
      <w:pPr>
        <w:pStyle w:val="Style5"/>
        <w:keepNext w:val="0"/>
        <w:keepLines w:val="0"/>
        <w:framePr w:w="3533" w:h="696" w:wrap="none" w:hAnchor="page" w:x="1614" w:y="1763"/>
        <w:widowControl w:val="0"/>
        <w:shd w:val="clear" w:color="auto" w:fill="auto"/>
        <w:bidi w:val="0"/>
        <w:spacing w:before="0" w:after="0"/>
        <w:ind w:left="0" w:right="0" w:firstLine="0"/>
        <w:jc w:val="center"/>
      </w:pPr>
      <w:r>
        <w:rPr>
          <w:rFonts w:ascii="Courier New" w:eastAsia="Courier New" w:hAnsi="Courier New" w:cs="Courier New"/>
          <w:color w:val="000000"/>
          <w:spacing w:val="0"/>
          <w:w w:val="100"/>
          <w:position w:val="0"/>
          <w:shd w:val="clear" w:color="auto" w:fill="auto"/>
          <w:lang w:val="ru-RU" w:eastAsia="ru-RU" w:bidi="ru-RU"/>
        </w:rPr>
        <w:t>УПРАВЛЕНИЕ</w:t>
      </w:r>
    </w:p>
    <w:p>
      <w:pPr>
        <w:pStyle w:val="Style7"/>
        <w:keepNext w:val="0"/>
        <w:keepLines w:val="0"/>
        <w:framePr w:w="3533" w:h="696" w:wrap="none" w:hAnchor="page" w:x="1614" w:y="176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 ьной антимонопольной службы</w:t>
        <w:br/>
        <w:t>но Республике Ингушедня</w:t>
      </w:r>
    </w:p>
    <w:p>
      <w:pPr>
        <w:pStyle w:val="Style2"/>
        <w:keepNext w:val="0"/>
        <w:keepLines w:val="0"/>
        <w:framePr w:w="2328" w:h="1339" w:wrap="none" w:hAnchor="page" w:x="2002" w:y="2651"/>
        <w:widowControl w:val="0"/>
        <w:shd w:val="clear" w:color="auto" w:fill="auto"/>
        <w:bidi w:val="0"/>
        <w:spacing w:before="0"/>
        <w:ind w:right="0"/>
        <w:jc w:val="left"/>
      </w:pPr>
      <w:r>
        <w:rPr>
          <w:color w:val="000000"/>
          <w:spacing w:val="0"/>
          <w:w w:val="100"/>
          <w:position w:val="0"/>
          <w:shd w:val="clear" w:color="auto" w:fill="auto"/>
          <w:lang w:val="ru-RU" w:eastAsia="ru-RU" w:bidi="ru-RU"/>
        </w:rPr>
        <w:t xml:space="preserve">ул. Победы, 3. кори. ".С» г. Назрань, 386102 тел?факс (8732) 22-87-28 е-П' кАЛТн; </w:t>
      </w:r>
      <w:r>
        <w:rPr>
          <w:smallCaps/>
          <w:color w:val="000000"/>
          <w:spacing w:val="0"/>
          <w:w w:val="100"/>
          <w:position w:val="0"/>
          <w:shd w:val="clear" w:color="auto" w:fill="auto"/>
          <w:lang w:val="ru-RU" w:eastAsia="ru-RU" w:bidi="ru-RU"/>
        </w:rPr>
        <w:t>цоу.гн</w:t>
      </w:r>
    </w:p>
    <w:p>
      <w:pPr>
        <w:pStyle w:val="Style10"/>
        <w:keepNext/>
        <w:keepLines/>
        <w:framePr w:w="2328" w:h="1339" w:wrap="none" w:hAnchor="page" w:x="2002" w:y="2651"/>
        <w:widowControl w:val="0"/>
        <w:shd w:val="clear" w:color="auto" w:fill="auto"/>
        <w:bidi w:val="0"/>
        <w:spacing w:before="0" w:after="0" w:line="240" w:lineRule="auto"/>
        <w:ind w:left="0" w:right="0" w:firstLine="0"/>
        <w:jc w:val="left"/>
      </w:pPr>
      <w:bookmarkStart w:id="0" w:name="bookmark0"/>
      <w:r>
        <w:rPr>
          <w:spacing w:val="0"/>
          <w:w w:val="100"/>
          <w:position w:val="0"/>
          <w:shd w:val="clear" w:color="auto" w:fill="auto"/>
          <w:lang w:val="ru-RU" w:eastAsia="ru-RU" w:bidi="ru-RU"/>
        </w:rPr>
        <w:t>0$. ДщЬ</w:t>
      </w:r>
      <w:r>
        <w:rPr>
          <w:spacing w:val="0"/>
          <w:w w:val="100"/>
          <w:position w:val="0"/>
          <w:u w:val="none"/>
          <w:shd w:val="clear" w:color="auto" w:fill="auto"/>
          <w:lang w:val="ru-RU" w:eastAsia="ru-RU" w:bidi="ru-RU"/>
        </w:rPr>
        <w:t xml:space="preserve"> </w:t>
      </w:r>
      <w:r>
        <w:rPr>
          <w:color w:val="000000"/>
          <w:spacing w:val="0"/>
          <w:w w:val="100"/>
          <w:position w:val="0"/>
          <w:u w:val="none"/>
          <w:shd w:val="clear" w:color="auto" w:fill="auto"/>
          <w:lang w:val="ru-RU" w:eastAsia="ru-RU" w:bidi="ru-RU"/>
        </w:rPr>
        <w:t>№</w:t>
      </w:r>
      <w:bookmarkEnd w:id="0"/>
    </w:p>
    <w:p>
      <w:pPr>
        <w:pStyle w:val="Style14"/>
        <w:keepNext w:val="0"/>
        <w:keepLines w:val="0"/>
        <w:framePr w:w="4022" w:h="245" w:wrap="none" w:hAnchor="page" w:x="1282" w:y="418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На №  от</w:t>
      </w:r>
    </w:p>
    <w:p>
      <w:pPr>
        <w:pStyle w:val="Style16"/>
        <w:keepNext w:val="0"/>
        <w:keepLines w:val="0"/>
        <w:framePr w:w="4618" w:h="3346" w:wrap="none" w:hAnchor="page" w:x="6562" w:y="937"/>
        <w:widowControl w:val="0"/>
        <w:shd w:val="clear" w:color="auto" w:fill="auto"/>
        <w:bidi w:val="0"/>
        <w:spacing w:before="0" w:after="0" w:line="264" w:lineRule="auto"/>
        <w:ind w:left="0" w:right="0" w:firstLine="0"/>
        <w:jc w:val="left"/>
      </w:pPr>
      <w:r>
        <w:rPr>
          <w:color w:val="000000"/>
          <w:spacing w:val="0"/>
          <w:w w:val="100"/>
          <w:position w:val="0"/>
          <w:sz w:val="24"/>
          <w:szCs w:val="24"/>
          <w:shd w:val="clear" w:color="auto" w:fill="auto"/>
          <w:lang w:val="ru-RU" w:eastAsia="ru-RU" w:bidi="ru-RU"/>
        </w:rPr>
        <w:t>Государственное бюджетное учреждение «Республиканский клинический перинатальный центр»</w:t>
      </w:r>
    </w:p>
    <w:p>
      <w:pPr>
        <w:pStyle w:val="Style16"/>
        <w:keepNext w:val="0"/>
        <w:keepLines w:val="0"/>
        <w:framePr w:w="4618" w:h="3346" w:wrap="none" w:hAnchor="page" w:x="6562" w:y="937"/>
        <w:widowControl w:val="0"/>
        <w:shd w:val="clear" w:color="auto" w:fill="auto"/>
        <w:bidi w:val="0"/>
        <w:spacing w:before="0" w:after="280" w:line="264" w:lineRule="auto"/>
        <w:ind w:left="0" w:right="0" w:firstLine="0"/>
        <w:jc w:val="left"/>
      </w:pPr>
      <w:r>
        <w:rPr>
          <w:color w:val="000000"/>
          <w:spacing w:val="0"/>
          <w:w w:val="100"/>
          <w:position w:val="0"/>
          <w:sz w:val="24"/>
          <w:szCs w:val="24"/>
          <w:shd w:val="clear" w:color="auto" w:fill="auto"/>
          <w:lang w:val="ru-RU" w:eastAsia="ru-RU" w:bidi="ru-RU"/>
        </w:rPr>
        <w:t>§Ъи_гкрс@тай.ги, 2акирк1_гкрс@тай.ги</w:t>
      </w:r>
    </w:p>
    <w:p>
      <w:pPr>
        <w:pStyle w:val="Style16"/>
        <w:keepNext w:val="0"/>
        <w:keepLines w:val="0"/>
        <w:framePr w:w="4618" w:h="3346" w:wrap="none" w:hAnchor="page" w:x="6562" w:y="937"/>
        <w:widowControl w:val="0"/>
        <w:shd w:val="clear" w:color="auto" w:fill="auto"/>
        <w:bidi w:val="0"/>
        <w:spacing w:before="0" w:after="0" w:line="264" w:lineRule="auto"/>
        <w:ind w:left="0" w:right="0" w:firstLine="0"/>
        <w:jc w:val="left"/>
      </w:pPr>
      <w:r>
        <w:rPr>
          <w:color w:val="000000"/>
          <w:spacing w:val="0"/>
          <w:w w:val="100"/>
          <w:position w:val="0"/>
          <w:sz w:val="24"/>
          <w:szCs w:val="24"/>
          <w:shd w:val="clear" w:color="auto" w:fill="auto"/>
          <w:lang w:val="ru-RU" w:eastAsia="ru-RU" w:bidi="ru-RU"/>
        </w:rPr>
        <w:t>ИП Воробьев Александр Валерьевич</w:t>
      </w:r>
    </w:p>
    <w:p>
      <w:pPr>
        <w:pStyle w:val="Style16"/>
        <w:keepNext w:val="0"/>
        <w:keepLines w:val="0"/>
        <w:framePr w:w="4618" w:h="3346" w:wrap="none" w:hAnchor="page" w:x="6562" w:y="937"/>
        <w:widowControl w:val="0"/>
        <w:shd w:val="clear" w:color="auto" w:fill="auto"/>
        <w:bidi w:val="0"/>
        <w:spacing w:before="0" w:after="280" w:line="264" w:lineRule="auto"/>
        <w:ind w:left="0" w:right="0" w:firstLine="0"/>
        <w:jc w:val="left"/>
      </w:pPr>
      <w:r>
        <w:rPr>
          <w:color w:val="000000"/>
          <w:spacing w:val="0"/>
          <w:w w:val="100"/>
          <w:position w:val="0"/>
          <w:sz w:val="24"/>
          <w:szCs w:val="24"/>
          <w:shd w:val="clear" w:color="auto" w:fill="auto"/>
          <w:lang w:val="ru-RU" w:eastAsia="ru-RU" w:bidi="ru-RU"/>
        </w:rPr>
        <w:t>1а1у18О1а.уЬ§@§тай.сот</w:t>
      </w:r>
    </w:p>
    <w:p>
      <w:pPr>
        <w:pStyle w:val="Style16"/>
        <w:keepNext w:val="0"/>
        <w:keepLines w:val="0"/>
        <w:framePr w:w="4618" w:h="3346" w:wrap="none" w:hAnchor="page" w:x="6562" w:y="937"/>
        <w:widowControl w:val="0"/>
        <w:shd w:val="clear" w:color="auto" w:fill="auto"/>
        <w:bidi w:val="0"/>
        <w:spacing w:before="0" w:after="0" w:line="264" w:lineRule="auto"/>
        <w:ind w:left="0" w:right="0" w:firstLine="0"/>
        <w:jc w:val="left"/>
      </w:pPr>
      <w:r>
        <w:rPr>
          <w:color w:val="000000"/>
          <w:spacing w:val="0"/>
          <w:w w:val="100"/>
          <w:position w:val="0"/>
          <w:sz w:val="24"/>
          <w:szCs w:val="24"/>
          <w:shd w:val="clear" w:color="auto" w:fill="auto"/>
          <w:lang w:val="ru-RU" w:eastAsia="ru-RU" w:bidi="ru-RU"/>
        </w:rPr>
        <w:t>Комитет государственного заказа</w:t>
      </w:r>
    </w:p>
    <w:p>
      <w:pPr>
        <w:pStyle w:val="Style16"/>
        <w:keepNext w:val="0"/>
        <w:keepLines w:val="0"/>
        <w:framePr w:w="4618" w:h="3346" w:wrap="none" w:hAnchor="page" w:x="6562" w:y="937"/>
        <w:widowControl w:val="0"/>
        <w:shd w:val="clear" w:color="auto" w:fill="auto"/>
        <w:bidi w:val="0"/>
        <w:spacing w:before="0" w:after="0" w:line="264" w:lineRule="auto"/>
        <w:ind w:left="0" w:right="0" w:firstLine="0"/>
        <w:jc w:val="left"/>
      </w:pPr>
      <w:r>
        <w:rPr>
          <w:color w:val="000000"/>
          <w:spacing w:val="0"/>
          <w:w w:val="100"/>
          <w:position w:val="0"/>
          <w:sz w:val="24"/>
          <w:szCs w:val="24"/>
          <w:shd w:val="clear" w:color="auto" w:fill="auto"/>
          <w:lang w:val="ru-RU" w:eastAsia="ru-RU" w:bidi="ru-RU"/>
        </w:rPr>
        <w:t>Республики Ингушетия</w:t>
      </w:r>
    </w:p>
    <w:p>
      <w:pPr>
        <w:pStyle w:val="Style16"/>
        <w:keepNext w:val="0"/>
        <w:keepLines w:val="0"/>
        <w:framePr w:w="4618" w:h="3346" w:wrap="none" w:hAnchor="page" w:x="6562" w:y="937"/>
        <w:widowControl w:val="0"/>
        <w:shd w:val="clear" w:color="auto" w:fill="auto"/>
        <w:bidi w:val="0"/>
        <w:spacing w:before="0" w:after="280" w:line="264" w:lineRule="auto"/>
        <w:ind w:left="0" w:right="0" w:firstLine="0"/>
        <w:jc w:val="left"/>
      </w:pPr>
      <w:r>
        <w:rPr>
          <w:color w:val="000000"/>
          <w:spacing w:val="0"/>
          <w:w w:val="100"/>
          <w:position w:val="0"/>
          <w:sz w:val="24"/>
          <w:szCs w:val="24"/>
          <w:shd w:val="clear" w:color="auto" w:fill="auto"/>
          <w:lang w:val="ru-RU" w:eastAsia="ru-RU" w:bidi="ru-RU"/>
        </w:rPr>
        <w:t>2ака2п@шай.ги, 2ауаукап@тай.ги</w:t>
      </w:r>
    </w:p>
    <w:p>
      <w:pPr>
        <w:widowControl w:val="0"/>
        <w:spacing w:line="360" w:lineRule="exact"/>
      </w:pPr>
      <w:r>
        <w:drawing>
          <wp:anchor distT="0" distB="0" distL="0" distR="0" simplePos="0" relativeHeight="62914690" behindDoc="1" locked="0" layoutInCell="1" allowOverlap="1">
            <wp:simplePos x="0" y="0"/>
            <wp:positionH relativeFrom="page">
              <wp:posOffset>1886585</wp:posOffset>
            </wp:positionH>
            <wp:positionV relativeFrom="margin">
              <wp:posOffset>0</wp:posOffset>
            </wp:positionV>
            <wp:extent cx="530225" cy="62166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216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55" w:right="385" w:bottom="1107" w:left="1238"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775" w:right="0" w:bottom="1217" w:left="0" w:header="0" w:footer="3" w:gutter="0"/>
          <w:cols w:space="720"/>
          <w:noEndnote/>
          <w:rtlGutter w:val="0"/>
          <w:docGrid w:linePitch="360"/>
        </w:sectPr>
      </w:pPr>
    </w:p>
    <w:p>
      <w:pPr>
        <w:pStyle w:val="Style16"/>
        <w:keepNext w:val="0"/>
        <w:keepLines w:val="0"/>
        <w:widowControl w:val="0"/>
        <w:shd w:val="clear" w:color="auto" w:fill="auto"/>
        <w:bidi w:val="0"/>
        <w:spacing w:before="0" w:after="0" w:line="266"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6"/>
        <w:keepNext w:val="0"/>
        <w:keepLines w:val="0"/>
        <w:widowControl w:val="0"/>
        <w:shd w:val="clear" w:color="auto" w:fill="auto"/>
        <w:bidi w:val="0"/>
        <w:spacing w:before="0" w:after="0" w:line="266" w:lineRule="auto"/>
        <w:ind w:left="0" w:right="0" w:firstLine="0"/>
        <w:jc w:val="center"/>
      </w:pPr>
      <w:r>
        <w:rPr>
          <w:color w:val="000000"/>
          <w:spacing w:val="0"/>
          <w:w w:val="100"/>
          <w:position w:val="0"/>
          <w:sz w:val="24"/>
          <w:szCs w:val="24"/>
          <w:shd w:val="clear" w:color="auto" w:fill="auto"/>
          <w:lang w:val="ru-RU" w:eastAsia="ru-RU" w:bidi="ru-RU"/>
        </w:rPr>
        <w:t>по делу №006/06/106-205/2023 о нарушении</w:t>
        <w:br/>
        <w:t>законодательства о контрактной системе</w:t>
      </w:r>
    </w:p>
    <w:p>
      <w:pPr>
        <w:pStyle w:val="Style16"/>
        <w:keepNext w:val="0"/>
        <w:keepLines w:val="0"/>
        <w:widowControl w:val="0"/>
        <w:shd w:val="clear" w:color="auto" w:fill="auto"/>
        <w:bidi w:val="0"/>
        <w:spacing w:before="0" w:after="0" w:line="266" w:lineRule="auto"/>
        <w:ind w:left="0" w:right="0" w:firstLine="9060"/>
        <w:jc w:val="both"/>
      </w:pPr>
      <w:r>
        <w:rPr>
          <w:color w:val="000000"/>
          <w:spacing w:val="0"/>
          <w:w w:val="100"/>
          <w:position w:val="0"/>
          <w:sz w:val="24"/>
          <w:szCs w:val="24"/>
          <w:shd w:val="clear" w:color="auto" w:fill="auto"/>
          <w:lang w:val="ru-RU" w:eastAsia="ru-RU" w:bidi="ru-RU"/>
        </w:rPr>
        <w:t>г. Назрань Резолютивная часть решения объявлена 04 мая 2023 года</w:t>
      </w:r>
    </w:p>
    <w:p>
      <w:pPr>
        <w:pStyle w:val="Style16"/>
        <w:keepNext w:val="0"/>
        <w:keepLines w:val="0"/>
        <w:widowControl w:val="0"/>
        <w:shd w:val="clear" w:color="auto" w:fill="auto"/>
        <w:bidi w:val="0"/>
        <w:spacing w:before="0" w:after="300" w:line="266" w:lineRule="auto"/>
        <w:ind w:left="0" w:right="0" w:firstLine="0"/>
        <w:jc w:val="both"/>
      </w:pPr>
      <w:r>
        <w:rPr>
          <w:color w:val="000000"/>
          <w:spacing w:val="0"/>
          <w:w w:val="100"/>
          <w:position w:val="0"/>
          <w:sz w:val="24"/>
          <w:szCs w:val="24"/>
          <w:shd w:val="clear" w:color="auto" w:fill="auto"/>
          <w:lang w:val="ru-RU" w:eastAsia="ru-RU" w:bidi="ru-RU"/>
        </w:rPr>
        <w:t>В полном объеме решение изготовлено 11 мая 2023 года</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Председатель комиссии: Р.В. Евлоев — заместитель руководителя Управления;</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Члены комиссии: М.М. Халмурзиев - начальник отдела контроля торгов Управления, М.М. Точиев - главный специалист-эксперт Управления.</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В отсутствии представителей: заявителя жалобы - ИП Воробьев Александр Валерьевич (далее - Заявитель), уполномоченного органа - Комитета государственного заказа Республики Ингушетия (далее — Уполномоченный орган), заказчика - ГБУ «Республиканский клинический перинатальный центр» (далее - Заказчик).</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Все стороны уведомлены надлежащим образом, заявлений и ходатайств не поступало.</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Рассмотрев жалобу Заявителя на действия (бездействия) Заказчика при проведении процедуры закупки способом электронного аукциона №0114500000823000626 на поставку дезинфицирующих средств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6"/>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6"/>
        <w:keepNext w:val="0"/>
        <w:keepLines w:val="0"/>
        <w:widowControl w:val="0"/>
        <w:shd w:val="clear" w:color="auto" w:fill="auto"/>
        <w:bidi w:val="0"/>
        <w:spacing w:before="0" w:after="300"/>
        <w:ind w:left="0" w:right="0" w:firstLine="580"/>
        <w:jc w:val="both"/>
      </w:pPr>
      <w:r>
        <w:rPr>
          <w:color w:val="000000"/>
          <w:spacing w:val="0"/>
          <w:w w:val="100"/>
          <w:position w:val="0"/>
          <w:sz w:val="24"/>
          <w:szCs w:val="24"/>
          <w:shd w:val="clear" w:color="auto" w:fill="auto"/>
          <w:lang w:val="ru-RU" w:eastAsia="ru-RU" w:bidi="ru-RU"/>
        </w:rPr>
        <w:t>Уполномоченным органом в единой информационной системе в сети Интернет</w:t>
      </w:r>
    </w:p>
    <w:p>
      <w:pPr>
        <w:pStyle w:val="Style21"/>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w:t>
      </w:r>
      <w:bookmarkEnd w:id="2"/>
    </w:p>
    <w:p>
      <w:pPr>
        <w:pStyle w:val="Style16"/>
        <w:keepNext w:val="0"/>
        <w:keepLines w:val="0"/>
        <w:widowControl w:val="0"/>
        <w:shd w:val="clear" w:color="auto" w:fill="auto"/>
        <w:bidi w:val="0"/>
        <w:spacing w:before="0" w:after="0" w:line="264" w:lineRule="auto"/>
        <w:ind w:left="0" w:right="0" w:firstLine="0"/>
        <w:jc w:val="both"/>
      </w:pPr>
      <w:r>
        <w:rPr>
          <w:color w:val="000000"/>
          <w:spacing w:val="0"/>
          <w:w w:val="100"/>
          <w:position w:val="0"/>
          <w:sz w:val="24"/>
          <w:szCs w:val="24"/>
          <w:shd w:val="clear" w:color="auto" w:fill="auto"/>
          <w:lang w:val="ru-RU" w:eastAsia="ru-RU" w:bidi="ru-RU"/>
        </w:rPr>
        <w:t>по размещению информации о размещении заказов уууууу.хакиркй^оу.ги (далее - ЕИС) размещено извещение о проведении Закупки.</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В жалобе Заявитель указывает на неправомерные действия Заказчика, выразившиеся в указании на товарный знак, без сопровождения словами «или эквивалент» в позициях 12 и 13 электронного документа «НМЦК_-Дезинфицирующее-средство».</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От Заказчика поступило возражение на жалобу, считают жалобу необоснованной, а действия Заказчика законными и обоснованными.</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Управления установила следующее:</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6"/>
        <w:keepNext w:val="0"/>
        <w:keepLines w:val="0"/>
        <w:widowControl w:val="0"/>
        <w:numPr>
          <w:ilvl w:val="0"/>
          <w:numId w:val="1"/>
        </w:numPr>
        <w:shd w:val="clear" w:color="auto" w:fill="auto"/>
        <w:tabs>
          <w:tab w:pos="941"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в ЕИС - 18.04.2023г;</w:t>
      </w:r>
    </w:p>
    <w:p>
      <w:pPr>
        <w:pStyle w:val="Style16"/>
        <w:keepNext w:val="0"/>
        <w:keepLines w:val="0"/>
        <w:widowControl w:val="0"/>
        <w:numPr>
          <w:ilvl w:val="0"/>
          <w:numId w:val="1"/>
        </w:numPr>
        <w:shd w:val="clear" w:color="auto" w:fill="auto"/>
        <w:tabs>
          <w:tab w:pos="956"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электронный аукцион;</w:t>
      </w:r>
    </w:p>
    <w:p>
      <w:pPr>
        <w:pStyle w:val="Style16"/>
        <w:keepNext w:val="0"/>
        <w:keepLines w:val="0"/>
        <w:widowControl w:val="0"/>
        <w:numPr>
          <w:ilvl w:val="0"/>
          <w:numId w:val="1"/>
        </w:numPr>
        <w:shd w:val="clear" w:color="auto" w:fill="auto"/>
        <w:tabs>
          <w:tab w:pos="940" w:val="left"/>
        </w:tabs>
        <w:bidi w:val="0"/>
        <w:spacing w:before="0" w:after="0" w:line="264" w:lineRule="auto"/>
        <w:ind w:left="0" w:right="0" w:firstLine="560"/>
        <w:jc w:val="both"/>
      </w:pPr>
      <w:r>
        <w:rPr>
          <w:color w:val="000000"/>
          <w:spacing w:val="0"/>
          <w:w w:val="100"/>
          <w:position w:val="0"/>
          <w:sz w:val="24"/>
          <w:szCs w:val="24"/>
          <w:shd w:val="clear" w:color="auto" w:fill="auto"/>
          <w:lang w:val="ru-RU" w:eastAsia="ru-RU" w:bidi="ru-RU"/>
        </w:rPr>
        <w:t>начальная (максимальная) цена контракта - 2 976 596,19 рублей;</w:t>
      </w:r>
    </w:p>
    <w:p>
      <w:pPr>
        <w:pStyle w:val="Style16"/>
        <w:keepNext w:val="0"/>
        <w:keepLines w:val="0"/>
        <w:widowControl w:val="0"/>
        <w:numPr>
          <w:ilvl w:val="0"/>
          <w:numId w:val="1"/>
        </w:numPr>
        <w:shd w:val="clear" w:color="auto" w:fill="auto"/>
        <w:tabs>
          <w:tab w:pos="950" w:val="left"/>
        </w:tabs>
        <w:bidi w:val="0"/>
        <w:spacing w:before="0" w:after="0" w:line="264" w:lineRule="auto"/>
        <w:ind w:left="0" w:right="0" w:firstLine="560"/>
        <w:jc w:val="both"/>
      </w:pPr>
      <w:r>
        <w:rPr>
          <w:color w:val="000000"/>
          <w:spacing w:val="0"/>
          <w:w w:val="100"/>
          <w:position w:val="0"/>
          <w:sz w:val="24"/>
          <w:szCs w:val="24"/>
          <w:shd w:val="clear" w:color="auto" w:fill="auto"/>
          <w:lang w:val="ru-RU" w:eastAsia="ru-RU" w:bidi="ru-RU"/>
        </w:rPr>
        <w:t>дата и время окончания подачи заявок - 28.04.2023 09:00;</w:t>
      </w:r>
    </w:p>
    <w:p>
      <w:pPr>
        <w:pStyle w:val="Style16"/>
        <w:keepNext w:val="0"/>
        <w:keepLines w:val="0"/>
        <w:widowControl w:val="0"/>
        <w:numPr>
          <w:ilvl w:val="0"/>
          <w:numId w:val="1"/>
        </w:numPr>
        <w:shd w:val="clear" w:color="auto" w:fill="auto"/>
        <w:tabs>
          <w:tab w:pos="956"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- 02.05.2023г.</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пунктами 1 и 2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следующие электронные документы:</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1) описание объекта закупки в соответствии со статьей 33 Закона о контрактной системе;</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2) обоснование начальной (максимальной) цены контракта.</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Частью 1 статьи 22 Закона о контрактной системе установлено, что начальная (максимальная) цена контракта (далее - НМЦК) и в предусмотренных Законом о контрактной системе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pPr>
        <w:pStyle w:val="Style16"/>
        <w:keepNext w:val="0"/>
        <w:keepLines w:val="0"/>
        <w:widowControl w:val="0"/>
        <w:numPr>
          <w:ilvl w:val="0"/>
          <w:numId w:val="3"/>
        </w:numPr>
        <w:shd w:val="clear" w:color="auto" w:fill="auto"/>
        <w:tabs>
          <w:tab w:pos="941"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метод сопоставимых рыночных цен (анализа рынка);</w:t>
      </w:r>
    </w:p>
    <w:p>
      <w:pPr>
        <w:pStyle w:val="Style16"/>
        <w:keepNext w:val="0"/>
        <w:keepLines w:val="0"/>
        <w:widowControl w:val="0"/>
        <w:numPr>
          <w:ilvl w:val="0"/>
          <w:numId w:val="3"/>
        </w:numPr>
        <w:shd w:val="clear" w:color="auto" w:fill="auto"/>
        <w:tabs>
          <w:tab w:pos="965"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нормативный метод;</w:t>
      </w:r>
    </w:p>
    <w:p>
      <w:pPr>
        <w:pStyle w:val="Style16"/>
        <w:keepNext w:val="0"/>
        <w:keepLines w:val="0"/>
        <w:widowControl w:val="0"/>
        <w:numPr>
          <w:ilvl w:val="0"/>
          <w:numId w:val="3"/>
        </w:numPr>
        <w:shd w:val="clear" w:color="auto" w:fill="auto"/>
        <w:tabs>
          <w:tab w:pos="960"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тарифный метод;</w:t>
      </w:r>
    </w:p>
    <w:p>
      <w:pPr>
        <w:pStyle w:val="Style16"/>
        <w:keepNext w:val="0"/>
        <w:keepLines w:val="0"/>
        <w:widowControl w:val="0"/>
        <w:numPr>
          <w:ilvl w:val="0"/>
          <w:numId w:val="3"/>
        </w:numPr>
        <w:shd w:val="clear" w:color="auto" w:fill="auto"/>
        <w:tabs>
          <w:tab w:pos="970"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проектно-сметный метод;</w:t>
      </w:r>
    </w:p>
    <w:p>
      <w:pPr>
        <w:pStyle w:val="Style16"/>
        <w:keepNext w:val="0"/>
        <w:keepLines w:val="0"/>
        <w:widowControl w:val="0"/>
        <w:numPr>
          <w:ilvl w:val="0"/>
          <w:numId w:val="3"/>
        </w:numPr>
        <w:shd w:val="clear" w:color="auto" w:fill="auto"/>
        <w:tabs>
          <w:tab w:pos="960"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затратный метод.</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Комиссией Управления установлено, что при расчете НМЦК Заказчиком использовался метод сопоставимых рыночных цен (анализа рынка).</w:t>
      </w: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Комиссией Управления установлено, что в составе извещения Закупки содержится электронный документ «НМЦК_-Дезинфицирующее-средство» в позициях 12 и 13 которого указано следующее:</w:t>
      </w:r>
      <w:r>
        <w:br w:type="page"/>
      </w:r>
    </w:p>
    <w:tbl>
      <w:tblPr>
        <w:tblOverlap w:val="never"/>
        <w:jc w:val="left"/>
        <w:tblLayout w:type="fixed"/>
      </w:tblPr>
      <w:tblGrid>
        <w:gridCol w:w="528"/>
        <w:gridCol w:w="3811"/>
      </w:tblGrid>
      <w:tr>
        <w:trPr>
          <w:trHeight w:val="878"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160"/>
              <w:jc w:val="left"/>
              <w:rPr>
                <w:sz w:val="19"/>
                <w:szCs w:val="19"/>
              </w:rPr>
            </w:pPr>
            <w:r>
              <w:rPr>
                <w:color w:val="000000"/>
                <w:spacing w:val="0"/>
                <w:w w:val="100"/>
                <w:position w:val="0"/>
                <w:sz w:val="19"/>
                <w:szCs w:val="19"/>
                <w:shd w:val="clear" w:color="auto" w:fill="auto"/>
                <w:lang w:val="ru-RU" w:eastAsia="ru-RU" w:bidi="ru-RU"/>
              </w:rPr>
              <w:t>№</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Наименование товара, услуги (работы)</w:t>
            </w:r>
          </w:p>
        </w:tc>
      </w:tr>
      <w:tr>
        <w:trPr>
          <w:trHeight w:val="85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160"/>
              <w:jc w:val="left"/>
              <w:rPr>
                <w:sz w:val="19"/>
                <w:szCs w:val="19"/>
              </w:rPr>
            </w:pPr>
            <w:r>
              <w:rPr>
                <w:color w:val="000000"/>
                <w:spacing w:val="0"/>
                <w:w w:val="100"/>
                <w:position w:val="0"/>
                <w:sz w:val="19"/>
                <w:szCs w:val="19"/>
                <w:shd w:val="clear" w:color="auto" w:fill="auto"/>
                <w:lang w:val="ru-RU" w:eastAsia="ru-RU" w:bidi="ru-RU"/>
              </w:rPr>
              <w:t>12</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Дезинфицирующее средство (Оллсепт про (А1ЬерГРго 1л.)</w:t>
            </w:r>
          </w:p>
        </w:tc>
      </w:tr>
      <w:tr>
        <w:trPr>
          <w:trHeight w:val="922" w:hRule="exact"/>
        </w:trPr>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160"/>
              <w:jc w:val="left"/>
              <w:rPr>
                <w:sz w:val="19"/>
                <w:szCs w:val="19"/>
              </w:rPr>
            </w:pPr>
            <w:r>
              <w:rPr>
                <w:color w:val="000000"/>
                <w:spacing w:val="0"/>
                <w:w w:val="100"/>
                <w:position w:val="0"/>
                <w:sz w:val="19"/>
                <w:szCs w:val="19"/>
                <w:shd w:val="clear" w:color="auto" w:fill="auto"/>
                <w:lang w:val="ru-RU" w:eastAsia="ru-RU" w:bidi="ru-RU"/>
              </w:rPr>
              <w:t>13</w:t>
            </w:r>
          </w:p>
        </w:tc>
        <w:tc>
          <w:tcPr>
            <w:tcBorders>
              <w:top w:val="single" w:sz="4"/>
              <w:left w:val="single" w:sz="4"/>
              <w:bottom w:val="single" w:sz="4"/>
              <w:right w:val="single" w:sz="4"/>
            </w:tcBorders>
            <w:shd w:val="clear" w:color="auto" w:fill="auto"/>
            <w:vAlign w:val="center"/>
          </w:tcPr>
          <w:p>
            <w:pPr>
              <w:pStyle w:val="Style24"/>
              <w:keepNext w:val="0"/>
              <w:keepLines w:val="0"/>
              <w:widowControl w:val="0"/>
              <w:shd w:val="clear" w:color="auto" w:fill="auto"/>
              <w:bidi w:val="0"/>
              <w:spacing w:before="0" w:after="0" w:line="259" w:lineRule="auto"/>
              <w:ind w:left="0" w:right="0" w:firstLine="0"/>
              <w:jc w:val="center"/>
              <w:rPr>
                <w:sz w:val="19"/>
                <w:szCs w:val="19"/>
              </w:rPr>
            </w:pPr>
            <w:r>
              <w:rPr>
                <w:color w:val="000000"/>
                <w:spacing w:val="0"/>
                <w:w w:val="100"/>
                <w:position w:val="0"/>
                <w:sz w:val="19"/>
                <w:szCs w:val="19"/>
                <w:shd w:val="clear" w:color="auto" w:fill="auto"/>
                <w:lang w:val="ru-RU" w:eastAsia="ru-RU" w:bidi="ru-RU"/>
              </w:rPr>
              <w:t>Дезинфицирующее средство(Оллсепт про (АПзерЯ’го 5л.)</w:t>
            </w:r>
          </w:p>
        </w:tc>
      </w:tr>
    </w:tbl>
    <w:p>
      <w:pPr>
        <w:widowControl w:val="0"/>
        <w:spacing w:after="319" w:line="1" w:lineRule="exact"/>
      </w:pPr>
    </w:p>
    <w:p>
      <w:pPr>
        <w:pStyle w:val="Style16"/>
        <w:keepNext w:val="0"/>
        <w:keepLines w:val="0"/>
        <w:widowControl w:val="0"/>
        <w:shd w:val="clear" w:color="auto" w:fill="auto"/>
        <w:bidi w:val="0"/>
        <w:spacing w:before="0" w:after="0" w:line="259" w:lineRule="auto"/>
        <w:ind w:left="0" w:right="0" w:firstLine="580"/>
        <w:jc w:val="both"/>
      </w:pPr>
      <w:r>
        <w:rPr>
          <w:color w:val="000000"/>
          <w:spacing w:val="0"/>
          <w:w w:val="100"/>
          <w:position w:val="0"/>
          <w:sz w:val="24"/>
          <w:szCs w:val="24"/>
          <w:shd w:val="clear" w:color="auto" w:fill="auto"/>
          <w:lang w:val="ru-RU" w:eastAsia="ru-RU" w:bidi="ru-RU"/>
        </w:rPr>
        <w:t>Согласно пункту 1 части 1 статьи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6"/>
        <w:keepNext w:val="0"/>
        <w:keepLines w:val="0"/>
        <w:widowControl w:val="0"/>
        <w:shd w:val="clear" w:color="auto" w:fill="auto"/>
        <w:bidi w:val="0"/>
        <w:spacing w:before="0" w:after="0" w:line="259" w:lineRule="auto"/>
        <w:ind w:left="0" w:right="0" w:firstLine="58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260" w:line="259" w:lineRule="auto"/>
        <w:ind w:left="0" w:right="0" w:firstLine="580"/>
        <w:jc w:val="both"/>
      </w:pPr>
      <w:r>
        <w:rPr>
          <w:color w:val="000000"/>
          <w:spacing w:val="0"/>
          <w:w w:val="100"/>
          <w:position w:val="0"/>
          <w:sz w:val="24"/>
          <w:szCs w:val="24"/>
          <w:shd w:val="clear" w:color="auto" w:fill="auto"/>
          <w:lang w:val="ru-RU" w:eastAsia="ru-RU" w:bidi="ru-RU"/>
        </w:rPr>
        <w:t>Комиссией Управления установлено, что в составе извещения Закупки содержится электронный документ «ТЗ дезы 2023 ФСС», который является описанием объекта Закупки в соответствии с правилами статьи 33 Закона о контрактной системы, в позициях 12 и 13 которого указаны следующие характеристики поставляемого товара, без указания на товарный знак производителя:</w:t>
      </w:r>
    </w:p>
    <w:tbl>
      <w:tblPr>
        <w:tblOverlap w:val="never"/>
        <w:jc w:val="center"/>
        <w:tblLayout w:type="fixed"/>
      </w:tblPr>
      <w:tblGrid>
        <w:gridCol w:w="408"/>
        <w:gridCol w:w="1195"/>
        <w:gridCol w:w="8549"/>
      </w:tblGrid>
      <w:tr>
        <w:trPr>
          <w:trHeight w:val="480"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Наименован ие товара</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69" w:lineRule="auto"/>
              <w:ind w:left="0" w:right="0" w:firstLine="0"/>
              <w:jc w:val="both"/>
              <w:rPr>
                <w:sz w:val="19"/>
                <w:szCs w:val="19"/>
              </w:rPr>
            </w:pPr>
            <w:r>
              <w:rPr>
                <w:color w:val="000000"/>
                <w:spacing w:val="0"/>
                <w:w w:val="100"/>
                <w:position w:val="0"/>
                <w:sz w:val="19"/>
                <w:szCs w:val="19"/>
                <w:shd w:val="clear" w:color="auto" w:fill="auto"/>
                <w:lang w:val="ru-RU" w:eastAsia="ru-RU" w:bidi="ru-RU"/>
              </w:rPr>
              <w:t>Функциональные характеристики (потребительские свойства), качественные характеристики товара</w:t>
            </w:r>
          </w:p>
        </w:tc>
      </w:tr>
      <w:tr>
        <w:trPr>
          <w:trHeight w:val="5338"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1</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2</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Дезинфицир ующее средство (указать наименован ие дезинфицир ующего средства в соответстви и со свидетельст вом о государстве иной регистрации</w:t>
            </w: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59" w:lineRule="auto"/>
              <w:ind w:left="0" w:right="0" w:firstLine="0"/>
              <w:jc w:val="both"/>
              <w:rPr>
                <w:sz w:val="19"/>
                <w:szCs w:val="19"/>
              </w:rPr>
            </w:pPr>
            <w:r>
              <w:rPr>
                <w:color w:val="000000"/>
                <w:spacing w:val="0"/>
                <w:w w:val="100"/>
                <w:position w:val="0"/>
                <w:sz w:val="19"/>
                <w:szCs w:val="19"/>
                <w:shd w:val="clear" w:color="auto" w:fill="auto"/>
                <w:lang w:val="ru-RU" w:eastAsia="ru-RU" w:bidi="ru-RU"/>
              </w:rPr>
              <w:t>Форма выпуска (согласно КТРУ): жидкость</w:t>
            </w:r>
          </w:p>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Дополнительные требования, отсутствующие в КТРУ:</w:t>
            </w:r>
          </w:p>
          <w:p>
            <w:pPr>
              <w:pStyle w:val="Style24"/>
              <w:keepNext w:val="0"/>
              <w:keepLines w:val="0"/>
              <w:widowControl w:val="0"/>
              <w:shd w:val="clear" w:color="auto" w:fill="auto"/>
              <w:bidi w:val="0"/>
              <w:spacing w:before="0" w:after="0" w:line="259" w:lineRule="auto"/>
              <w:ind w:left="0" w:right="0" w:firstLine="0"/>
              <w:jc w:val="both"/>
              <w:rPr>
                <w:sz w:val="19"/>
                <w:szCs w:val="19"/>
              </w:rPr>
            </w:pPr>
            <w:r>
              <w:rPr>
                <w:color w:val="000000"/>
                <w:spacing w:val="0"/>
                <w:w w:val="100"/>
                <w:position w:val="0"/>
                <w:sz w:val="19"/>
                <w:szCs w:val="19"/>
                <w:shd w:val="clear" w:color="auto" w:fill="auto"/>
                <w:lang w:val="ru-RU" w:eastAsia="ru-RU" w:bidi="ru-RU"/>
              </w:rPr>
              <w:t>В качестве действующих веществ средство должно содержать пропанол-1 (И-пропанол) не менее 10%, пропанол-2 (изопропанол) не менее 65% , а также функциональные добавки, ухаживающие за кожей компоненты. Фасовка: Полимерный флакон не более 1л., подходящий, для использования в настенном локтевом дозаторе европейского стандарта.</w:t>
            </w:r>
          </w:p>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Срок годности не менее 5 лет со дня изготовления.</w:t>
            </w:r>
          </w:p>
          <w:p>
            <w:pPr>
              <w:pStyle w:val="Style24"/>
              <w:keepNext w:val="0"/>
              <w:keepLines w:val="0"/>
              <w:widowControl w:val="0"/>
              <w:shd w:val="clear" w:color="auto" w:fill="auto"/>
              <w:bidi w:val="0"/>
              <w:spacing w:before="0" w:after="0" w:line="259" w:lineRule="auto"/>
              <w:ind w:left="0" w:right="0" w:firstLine="0"/>
              <w:jc w:val="both"/>
              <w:rPr>
                <w:sz w:val="19"/>
                <w:szCs w:val="19"/>
              </w:rPr>
            </w:pPr>
            <w:r>
              <w:rPr>
                <w:color w:val="000000"/>
                <w:spacing w:val="0"/>
                <w:w w:val="100"/>
                <w:position w:val="0"/>
                <w:sz w:val="19"/>
                <w:szCs w:val="19"/>
                <w:shd w:val="clear" w:color="auto" w:fill="auto"/>
                <w:lang w:val="ru-RU" w:eastAsia="ru-RU" w:bidi="ru-RU"/>
              </w:rPr>
              <w:t>Дезинфицирующее средство (кожный антисептик) должен представлять собой готовый к применению раствор в виде прозрачной бесцветной жидкости с характерным спиртовым запахом. Средство в своем составе не должно содержать четвертичных аммониевых соединений (ЧАСов), гуанидинов красителей, ароматизаторов натурального и/или искусственного происхождения. Суммарное содержание действующих веществ (спиртов) должно быть не менее 75%. Средство должно обладать бактерицидной, туберкулоцидной, вирулицидной (тестировано на вирусах полиомиелита, гепатита В и ВИЧ) и фунгицидной (в отношении дрожжеподобных грибов) активностью.</w:t>
            </w:r>
          </w:p>
          <w:p>
            <w:pPr>
              <w:pStyle w:val="Style24"/>
              <w:keepNext w:val="0"/>
              <w:keepLines w:val="0"/>
              <w:widowControl w:val="0"/>
              <w:shd w:val="clear" w:color="auto" w:fill="auto"/>
              <w:bidi w:val="0"/>
              <w:spacing w:before="0" w:after="0" w:line="259" w:lineRule="auto"/>
              <w:ind w:left="0" w:right="0" w:firstLine="140"/>
              <w:jc w:val="both"/>
              <w:rPr>
                <w:sz w:val="19"/>
                <w:szCs w:val="19"/>
              </w:rPr>
            </w:pPr>
            <w:r>
              <w:rPr>
                <w:color w:val="000000"/>
                <w:spacing w:val="0"/>
                <w:w w:val="100"/>
                <w:position w:val="0"/>
                <w:sz w:val="19"/>
                <w:szCs w:val="19"/>
                <w:shd w:val="clear" w:color="auto" w:fill="auto"/>
                <w:lang w:val="ru-RU" w:eastAsia="ru-RU" w:bidi="ru-RU"/>
              </w:rPr>
              <w:t>Средство должно быть предназначено для обработки рук хирургов, операционных медицинских сестер, акушерок и других лиц, участвующих в проведении операций, приеме родов, локтевых сгибов доноров, а также для обработки кожи инъекционного поля; для гигиенической обработки рук;</w:t>
            </w:r>
          </w:p>
          <w:p>
            <w:pPr>
              <w:pStyle w:val="Style24"/>
              <w:keepNext w:val="0"/>
              <w:keepLines w:val="0"/>
              <w:widowControl w:val="0"/>
              <w:shd w:val="clear" w:color="auto" w:fill="auto"/>
              <w:bidi w:val="0"/>
              <w:spacing w:before="0" w:after="0" w:line="209" w:lineRule="auto"/>
              <w:ind w:left="0" w:right="0" w:firstLine="0"/>
              <w:jc w:val="left"/>
              <w:rPr>
                <w:sz w:val="19"/>
                <w:szCs w:val="19"/>
              </w:rPr>
            </w:pPr>
            <w:r>
              <w:rPr>
                <w:color w:val="000000"/>
                <w:spacing w:val="0"/>
                <w:w w:val="100"/>
                <w:position w:val="0"/>
                <w:sz w:val="19"/>
                <w:szCs w:val="19"/>
                <w:shd w:val="clear" w:color="auto" w:fill="auto"/>
                <w:lang w:val="ru-RU" w:eastAsia="ru-RU" w:bidi="ru-RU"/>
              </w:rPr>
              <w:t>для быстрой обработки поверхностей в т. ч. труднодоступных.</w:t>
            </w:r>
          </w:p>
          <w:p>
            <w:pPr>
              <w:pStyle w:val="Style24"/>
              <w:keepNext w:val="0"/>
              <w:keepLines w:val="0"/>
              <w:widowControl w:val="0"/>
              <w:shd w:val="clear" w:color="auto" w:fill="auto"/>
              <w:bidi w:val="0"/>
              <w:spacing w:before="0" w:after="0" w:line="269" w:lineRule="auto"/>
              <w:ind w:left="0" w:right="0" w:firstLine="0"/>
              <w:jc w:val="both"/>
              <w:rPr>
                <w:sz w:val="19"/>
                <w:szCs w:val="19"/>
              </w:rPr>
            </w:pPr>
            <w:r>
              <w:rPr>
                <w:color w:val="000000"/>
                <w:spacing w:val="0"/>
                <w:w w:val="100"/>
                <w:position w:val="0"/>
                <w:sz w:val="19"/>
                <w:szCs w:val="19"/>
                <w:shd w:val="clear" w:color="auto" w:fill="auto"/>
                <w:lang w:val="ru-RU" w:eastAsia="ru-RU" w:bidi="ru-RU"/>
              </w:rPr>
              <w:t>По параметрам острой токсичности средство должно принадлежать к 4 классу малоопасных соединений.</w:t>
            </w:r>
          </w:p>
          <w:p>
            <w:pPr>
              <w:pStyle w:val="Style24"/>
              <w:keepNext w:val="0"/>
              <w:keepLines w:val="0"/>
              <w:widowControl w:val="0"/>
              <w:shd w:val="clear" w:color="auto" w:fill="auto"/>
              <w:bidi w:val="0"/>
              <w:spacing w:before="0" w:after="0" w:line="230" w:lineRule="auto"/>
              <w:ind w:left="0" w:right="0" w:firstLine="0"/>
              <w:jc w:val="both"/>
              <w:rPr>
                <w:sz w:val="19"/>
                <w:szCs w:val="19"/>
              </w:rPr>
            </w:pPr>
            <w:r>
              <w:rPr>
                <w:color w:val="000000"/>
                <w:spacing w:val="0"/>
                <w:w w:val="100"/>
                <w:position w:val="0"/>
                <w:sz w:val="19"/>
                <w:szCs w:val="19"/>
                <w:shd w:val="clear" w:color="auto" w:fill="auto"/>
                <w:lang w:val="ru-RU" w:eastAsia="ru-RU" w:bidi="ru-RU"/>
              </w:rPr>
              <w:t>Средство не должно обладать местно-раздражающим, кожно-резорбтивным и</w:t>
            </w:r>
          </w:p>
        </w:tc>
      </w:tr>
    </w:tbl>
    <w:p>
      <w:pPr>
        <w:widowControl w:val="0"/>
        <w:spacing w:line="1" w:lineRule="exact"/>
      </w:pPr>
      <w:r>
        <w:br w:type="page"/>
      </w:r>
    </w:p>
    <w:tbl>
      <w:tblPr>
        <w:tblOverlap w:val="never"/>
        <w:jc w:val="center"/>
        <w:tblLayout w:type="fixed"/>
      </w:tblPr>
      <w:tblGrid>
        <w:gridCol w:w="413"/>
        <w:gridCol w:w="1195"/>
        <w:gridCol w:w="8554"/>
      </w:tblGrid>
      <w:tr>
        <w:trPr>
          <w:trHeight w:val="166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59" w:lineRule="auto"/>
              <w:ind w:left="0" w:right="0" w:firstLine="0"/>
              <w:jc w:val="both"/>
              <w:rPr>
                <w:sz w:val="19"/>
                <w:szCs w:val="19"/>
              </w:rPr>
            </w:pPr>
            <w:r>
              <w:rPr>
                <w:color w:val="000000"/>
                <w:spacing w:val="0"/>
                <w:w w:val="100"/>
                <w:position w:val="0"/>
                <w:sz w:val="19"/>
                <w:szCs w:val="19"/>
                <w:shd w:val="clear" w:color="auto" w:fill="auto"/>
                <w:lang w:val="ru-RU" w:eastAsia="ru-RU" w:bidi="ru-RU"/>
              </w:rPr>
              <w:t>сенсибилизирующим свойствами. Средство должно обладать пролонгированным действием в течение не менее 3-х часов.</w:t>
            </w:r>
          </w:p>
          <w:p>
            <w:pPr>
              <w:pStyle w:val="Style24"/>
              <w:keepNext w:val="0"/>
              <w:keepLines w:val="0"/>
              <w:widowControl w:val="0"/>
              <w:shd w:val="clear" w:color="auto" w:fill="auto"/>
              <w:bidi w:val="0"/>
              <w:spacing w:before="0" w:after="0" w:line="259" w:lineRule="auto"/>
              <w:ind w:left="0" w:right="0" w:firstLine="140"/>
              <w:jc w:val="left"/>
              <w:rPr>
                <w:sz w:val="19"/>
                <w:szCs w:val="19"/>
              </w:rPr>
            </w:pPr>
            <w:r>
              <w:rPr>
                <w:color w:val="000000"/>
                <w:spacing w:val="0"/>
                <w:w w:val="100"/>
                <w:position w:val="0"/>
                <w:sz w:val="19"/>
                <w:szCs w:val="19"/>
                <w:shd w:val="clear" w:color="auto" w:fill="auto"/>
                <w:lang w:val="ru-RU" w:eastAsia="ru-RU" w:bidi="ru-RU"/>
              </w:rPr>
              <w:t>Режимы обработки:</w:t>
            </w:r>
          </w:p>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-гигиеническая обработка рук не более 15 секунд;</w:t>
            </w:r>
          </w:p>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-обработка рук хирургов не более 1,5 минут двукратно (суммарно не менее 3 минут);</w:t>
            </w:r>
          </w:p>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-обработка инъекционного поля не более 20 секунд;</w:t>
            </w:r>
          </w:p>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-обработка операционного поля не более 2 минут.</w:t>
            </w:r>
          </w:p>
        </w:tc>
      </w:tr>
      <w:tr>
        <w:trPr>
          <w:trHeight w:val="6725"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1</w:t>
            </w:r>
          </w:p>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3</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Дезинфицир ующее средство (указать наименован ие дезинфицир ующего средства в соответстви и со свидетельст вом о государстве иной регистрации</w:t>
            </w: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left"/>
              <w:rPr>
                <w:sz w:val="19"/>
                <w:szCs w:val="19"/>
              </w:rPr>
            </w:pPr>
            <w:r>
              <w:rPr>
                <w:color w:val="000000"/>
                <w:spacing w:val="0"/>
                <w:w w:val="100"/>
                <w:position w:val="0"/>
                <w:sz w:val="19"/>
                <w:szCs w:val="19"/>
                <w:shd w:val="clear" w:color="auto" w:fill="auto"/>
                <w:lang w:val="ru-RU" w:eastAsia="ru-RU" w:bidi="ru-RU"/>
              </w:rPr>
              <w:t>Форма выпуска (согласно КТРУ): жидкость</w:t>
            </w:r>
          </w:p>
          <w:p>
            <w:pPr>
              <w:pStyle w:val="Style24"/>
              <w:keepNext w:val="0"/>
              <w:keepLines w:val="0"/>
              <w:widowControl w:val="0"/>
              <w:shd w:val="clear" w:color="auto" w:fill="auto"/>
              <w:bidi w:val="0"/>
              <w:spacing w:before="0" w:after="0" w:line="257" w:lineRule="auto"/>
              <w:ind w:left="0" w:right="0" w:firstLine="0"/>
              <w:jc w:val="left"/>
              <w:rPr>
                <w:sz w:val="19"/>
                <w:szCs w:val="19"/>
              </w:rPr>
            </w:pPr>
            <w:r>
              <w:rPr>
                <w:color w:val="000000"/>
                <w:spacing w:val="0"/>
                <w:w w:val="100"/>
                <w:position w:val="0"/>
                <w:sz w:val="19"/>
                <w:szCs w:val="19"/>
                <w:shd w:val="clear" w:color="auto" w:fill="auto"/>
                <w:lang w:val="ru-RU" w:eastAsia="ru-RU" w:bidi="ru-RU"/>
              </w:rPr>
              <w:t>Дополнительные требования, отсутствующие в КТРУ:</w:t>
            </w:r>
          </w:p>
          <w:p>
            <w:pPr>
              <w:pStyle w:val="Style24"/>
              <w:keepNext w:val="0"/>
              <w:keepLines w:val="0"/>
              <w:widowControl w:val="0"/>
              <w:shd w:val="clear" w:color="auto" w:fill="auto"/>
              <w:bidi w:val="0"/>
              <w:spacing w:before="0" w:after="0" w:line="257" w:lineRule="auto"/>
              <w:ind w:left="0" w:right="0" w:firstLine="0"/>
              <w:jc w:val="both"/>
              <w:rPr>
                <w:sz w:val="19"/>
                <w:szCs w:val="19"/>
              </w:rPr>
            </w:pPr>
            <w:r>
              <w:rPr>
                <w:color w:val="000000"/>
                <w:spacing w:val="0"/>
                <w:w w:val="100"/>
                <w:position w:val="0"/>
                <w:sz w:val="19"/>
                <w:szCs w:val="19"/>
                <w:shd w:val="clear" w:color="auto" w:fill="auto"/>
                <w:lang w:val="ru-RU" w:eastAsia="ru-RU" w:bidi="ru-RU"/>
              </w:rPr>
              <w:t>В качестве действующих веществ средство должно содержать пропанол-1 (№-пропанол) не менее 10%, пропанол-2 (изопропанол) не менее 65% , а также функциональные добавки, ухаживающие за кожей компоненты. Фасовка: Полимерный флакон не более 5 л.</w:t>
            </w:r>
          </w:p>
          <w:p>
            <w:pPr>
              <w:pStyle w:val="Style24"/>
              <w:keepNext w:val="0"/>
              <w:keepLines w:val="0"/>
              <w:widowControl w:val="0"/>
              <w:shd w:val="clear" w:color="auto" w:fill="auto"/>
              <w:bidi w:val="0"/>
              <w:spacing w:before="0" w:after="0" w:line="257" w:lineRule="auto"/>
              <w:ind w:left="0" w:right="0" w:firstLine="0"/>
              <w:jc w:val="left"/>
              <w:rPr>
                <w:sz w:val="19"/>
                <w:szCs w:val="19"/>
              </w:rPr>
            </w:pPr>
            <w:r>
              <w:rPr>
                <w:color w:val="000000"/>
                <w:spacing w:val="0"/>
                <w:w w:val="100"/>
                <w:position w:val="0"/>
                <w:sz w:val="19"/>
                <w:szCs w:val="19"/>
                <w:shd w:val="clear" w:color="auto" w:fill="auto"/>
                <w:lang w:val="ru-RU" w:eastAsia="ru-RU" w:bidi="ru-RU"/>
              </w:rPr>
              <w:t>Срок годности не менее 5 лет со дня изготовления.</w:t>
            </w:r>
          </w:p>
          <w:p>
            <w:pPr>
              <w:pStyle w:val="Style24"/>
              <w:keepNext w:val="0"/>
              <w:keepLines w:val="0"/>
              <w:widowControl w:val="0"/>
              <w:shd w:val="clear" w:color="auto" w:fill="auto"/>
              <w:bidi w:val="0"/>
              <w:spacing w:before="0" w:after="0" w:line="257" w:lineRule="auto"/>
              <w:ind w:left="0" w:right="0" w:firstLine="0"/>
              <w:jc w:val="both"/>
              <w:rPr>
                <w:sz w:val="19"/>
                <w:szCs w:val="19"/>
              </w:rPr>
            </w:pPr>
            <w:r>
              <w:rPr>
                <w:color w:val="000000"/>
                <w:spacing w:val="0"/>
                <w:w w:val="100"/>
                <w:position w:val="0"/>
                <w:sz w:val="19"/>
                <w:szCs w:val="19"/>
                <w:shd w:val="clear" w:color="auto" w:fill="auto"/>
                <w:lang w:val="ru-RU" w:eastAsia="ru-RU" w:bidi="ru-RU"/>
              </w:rPr>
              <w:t>Дезинфицирующее средство (кожный антисептик) должен представлять собой готовый к применению раствор в виде прозрачной бесцветной жидкости с характерным спиртовым запахом. Средство в своем составе не должно содержать четвертичных аммониевых соединений (ЧАСов), гуанидинов красителей, ароматизаторов натурального и/или искусственного происхождения. Суммарное содержание действующих веществ (спиртов) дол жно быть не менее 75%. Средство должно обладать бактерицидной, туберкулоцидной, вирулицидной (тестировано на вирусах полиомиелита, гепатита В и ВИЧ) и фунгицидной (в отношении дрожжеподобных грибов) активностью.</w:t>
            </w:r>
          </w:p>
          <w:p>
            <w:pPr>
              <w:pStyle w:val="Style24"/>
              <w:keepNext w:val="0"/>
              <w:keepLines w:val="0"/>
              <w:widowControl w:val="0"/>
              <w:shd w:val="clear" w:color="auto" w:fill="auto"/>
              <w:bidi w:val="0"/>
              <w:spacing w:before="0" w:after="0" w:line="257" w:lineRule="auto"/>
              <w:ind w:left="0" w:right="0" w:firstLine="140"/>
              <w:jc w:val="both"/>
              <w:rPr>
                <w:sz w:val="19"/>
                <w:szCs w:val="19"/>
              </w:rPr>
            </w:pPr>
            <w:r>
              <w:rPr>
                <w:color w:val="000000"/>
                <w:spacing w:val="0"/>
                <w:w w:val="100"/>
                <w:position w:val="0"/>
                <w:sz w:val="19"/>
                <w:szCs w:val="19"/>
                <w:shd w:val="clear" w:color="auto" w:fill="auto"/>
                <w:lang w:val="ru-RU" w:eastAsia="ru-RU" w:bidi="ru-RU"/>
              </w:rPr>
              <w:t>Средство должно быть предназначено для обработки рук хирургов, операционных медицинских сестер, акушерок и других лиц, участвующих в проведении операций, приеме родов, локтевых сгибов доноров, а также для обработки кожи инъекционного поля; для гигиенической обработки рук;</w:t>
            </w:r>
          </w:p>
          <w:p>
            <w:pPr>
              <w:pStyle w:val="Style24"/>
              <w:keepNext w:val="0"/>
              <w:keepLines w:val="0"/>
              <w:widowControl w:val="0"/>
              <w:shd w:val="clear" w:color="auto" w:fill="auto"/>
              <w:bidi w:val="0"/>
              <w:spacing w:before="0" w:after="0" w:line="254" w:lineRule="auto"/>
              <w:ind w:left="0" w:right="0" w:firstLine="0"/>
              <w:jc w:val="both"/>
              <w:rPr>
                <w:sz w:val="19"/>
                <w:szCs w:val="19"/>
              </w:rPr>
            </w:pPr>
            <w:r>
              <w:rPr>
                <w:color w:val="000000"/>
                <w:spacing w:val="0"/>
                <w:w w:val="100"/>
                <w:position w:val="0"/>
                <w:sz w:val="19"/>
                <w:szCs w:val="19"/>
                <w:shd w:val="clear" w:color="auto" w:fill="auto"/>
                <w:lang w:val="ru-RU" w:eastAsia="ru-RU" w:bidi="ru-RU"/>
              </w:rPr>
              <w:t>для быстрой обработки поверхностей в т. ч. труднодоступных.</w:t>
            </w:r>
          </w:p>
          <w:p>
            <w:pPr>
              <w:pStyle w:val="Style24"/>
              <w:keepNext w:val="0"/>
              <w:keepLines w:val="0"/>
              <w:widowControl w:val="0"/>
              <w:shd w:val="clear" w:color="auto" w:fill="auto"/>
              <w:bidi w:val="0"/>
              <w:spacing w:before="0" w:after="0" w:line="254" w:lineRule="auto"/>
              <w:ind w:left="0" w:right="0" w:firstLine="0"/>
              <w:jc w:val="both"/>
              <w:rPr>
                <w:sz w:val="19"/>
                <w:szCs w:val="19"/>
              </w:rPr>
            </w:pPr>
            <w:r>
              <w:rPr>
                <w:color w:val="000000"/>
                <w:spacing w:val="0"/>
                <w:w w:val="100"/>
                <w:position w:val="0"/>
                <w:sz w:val="19"/>
                <w:szCs w:val="19"/>
                <w:shd w:val="clear" w:color="auto" w:fill="auto"/>
                <w:lang w:val="ru-RU" w:eastAsia="ru-RU" w:bidi="ru-RU"/>
              </w:rPr>
              <w:t>По параметрам острой токсичности средство должно принадлежать к 4 классу малоопасных соединений.</w:t>
            </w:r>
          </w:p>
          <w:p>
            <w:pPr>
              <w:pStyle w:val="Style24"/>
              <w:keepNext w:val="0"/>
              <w:keepLines w:val="0"/>
              <w:widowControl w:val="0"/>
              <w:shd w:val="clear" w:color="auto" w:fill="auto"/>
              <w:bidi w:val="0"/>
              <w:spacing w:before="0" w:after="0" w:line="254" w:lineRule="auto"/>
              <w:ind w:left="0" w:right="0" w:firstLine="0"/>
              <w:jc w:val="both"/>
              <w:rPr>
                <w:sz w:val="19"/>
                <w:szCs w:val="19"/>
              </w:rPr>
            </w:pPr>
            <w:r>
              <w:rPr>
                <w:color w:val="000000"/>
                <w:spacing w:val="0"/>
                <w:w w:val="100"/>
                <w:position w:val="0"/>
                <w:sz w:val="19"/>
                <w:szCs w:val="19"/>
                <w:shd w:val="clear" w:color="auto" w:fill="auto"/>
                <w:lang w:val="ru-RU" w:eastAsia="ru-RU" w:bidi="ru-RU"/>
              </w:rPr>
              <w:t>Средство не должно обладать местно-раздражающим, кожно-резорбтивным и сенсибилизирующим свойствами. Средство должно обладать пролонгированным действием в течение не менее 3-х часов.</w:t>
            </w:r>
          </w:p>
          <w:p>
            <w:pPr>
              <w:pStyle w:val="Style24"/>
              <w:keepNext w:val="0"/>
              <w:keepLines w:val="0"/>
              <w:widowControl w:val="0"/>
              <w:shd w:val="clear" w:color="auto" w:fill="auto"/>
              <w:bidi w:val="0"/>
              <w:spacing w:before="0" w:after="0" w:line="254" w:lineRule="auto"/>
              <w:ind w:left="0" w:right="0" w:firstLine="140"/>
              <w:jc w:val="left"/>
              <w:rPr>
                <w:sz w:val="19"/>
                <w:szCs w:val="19"/>
              </w:rPr>
            </w:pPr>
            <w:r>
              <w:rPr>
                <w:color w:val="000000"/>
                <w:spacing w:val="0"/>
                <w:w w:val="100"/>
                <w:position w:val="0"/>
                <w:sz w:val="19"/>
                <w:szCs w:val="19"/>
                <w:shd w:val="clear" w:color="auto" w:fill="auto"/>
                <w:lang w:val="ru-RU" w:eastAsia="ru-RU" w:bidi="ru-RU"/>
              </w:rPr>
              <w:t>Режимы обработки:</w:t>
            </w:r>
          </w:p>
          <w:p>
            <w:pPr>
              <w:pStyle w:val="Style24"/>
              <w:keepNext w:val="0"/>
              <w:keepLines w:val="0"/>
              <w:widowControl w:val="0"/>
              <w:numPr>
                <w:ilvl w:val="0"/>
                <w:numId w:val="5"/>
              </w:numPr>
              <w:shd w:val="clear" w:color="auto" w:fill="auto"/>
              <w:tabs>
                <w:tab w:pos="62" w:val="left"/>
              </w:tabs>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гигиеническая обработка рук не более 15 секунд;</w:t>
            </w:r>
          </w:p>
          <w:p>
            <w:pPr>
              <w:pStyle w:val="Style24"/>
              <w:keepNext w:val="0"/>
              <w:keepLines w:val="0"/>
              <w:widowControl w:val="0"/>
              <w:numPr>
                <w:ilvl w:val="0"/>
                <w:numId w:val="5"/>
              </w:numPr>
              <w:shd w:val="clear" w:color="auto" w:fill="auto"/>
              <w:tabs>
                <w:tab w:pos="62" w:val="left"/>
              </w:tabs>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обработка рук хирургов не более 1,5 минут двукратно (суммарно не менее 3 минут);</w:t>
            </w:r>
          </w:p>
          <w:p>
            <w:pPr>
              <w:pStyle w:val="Style24"/>
              <w:keepNext w:val="0"/>
              <w:keepLines w:val="0"/>
              <w:widowControl w:val="0"/>
              <w:numPr>
                <w:ilvl w:val="0"/>
                <w:numId w:val="5"/>
              </w:numPr>
              <w:shd w:val="clear" w:color="auto" w:fill="auto"/>
              <w:tabs>
                <w:tab w:pos="62" w:val="left"/>
              </w:tabs>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обработка инъекционного поля не более 20 секунд;</w:t>
            </w:r>
          </w:p>
          <w:p>
            <w:pPr>
              <w:pStyle w:val="Style24"/>
              <w:keepNext w:val="0"/>
              <w:keepLines w:val="0"/>
              <w:widowControl w:val="0"/>
              <w:numPr>
                <w:ilvl w:val="0"/>
                <w:numId w:val="5"/>
              </w:numPr>
              <w:shd w:val="clear" w:color="auto" w:fill="auto"/>
              <w:tabs>
                <w:tab w:pos="62" w:val="left"/>
              </w:tabs>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обработка операционного поля не более 2 минут.</w:t>
            </w:r>
          </w:p>
        </w:tc>
      </w:tr>
    </w:tbl>
    <w:p>
      <w:pPr>
        <w:widowControl w:val="0"/>
        <w:spacing w:after="299" w:line="1" w:lineRule="exact"/>
      </w:pPr>
    </w:p>
    <w:p>
      <w:pPr>
        <w:pStyle w:val="Style16"/>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Управления пришла к выводу, что указание товарного знака производителя (АПзеррРго) в позициях 12 и 13 электронного документа «НМЦК_- Дезинфицирующее-средство» не противоречит нормам Закона о контрактной системе. Электронный документ «НМЦК_-Дезинфицирующее-средство» является обоснованием НМЦК. Описание объекта Закупки Заказчиком установлено в электронном документе «ТЗ дезы 2023 ФСС», в котором отсутствуют указания на определенные товарные знаки производителей.</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приходит к выводу о необоснованности жалобы Заявителя.</w:t>
      </w:r>
    </w:p>
    <w:p>
      <w:pPr>
        <w:pStyle w:val="Style16"/>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В ходе проведения внеплановой проверки Комиссией Управления нарушений норм Закона о контрактной системе не выявлено.</w:t>
      </w:r>
    </w:p>
    <w:p>
      <w:pPr>
        <w:pStyle w:val="Style16"/>
        <w:keepNext w:val="0"/>
        <w:keepLines w:val="0"/>
        <w:widowControl w:val="0"/>
        <w:shd w:val="clear" w:color="auto" w:fill="auto"/>
        <w:tabs>
          <w:tab w:pos="8150"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Исходя из изложенного, информации, представленной Заявителем, Заказчиком, а также информации, полученной при проведении внеплановой проверки, Комиссией Управления, руководствуясь статьями 99,</w:t>
        <w:tab/>
        <w:t>106 Закона</w:t>
      </w:r>
    </w:p>
    <w:p>
      <w:pPr>
        <w:pStyle w:val="Style16"/>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 xml:space="preserve">о контрактной системе и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w:t>
      </w:r>
      <w:r>
        <w:rPr>
          <w:color w:val="000000"/>
          <w:spacing w:val="0"/>
          <w:w w:val="100"/>
          <w:position w:val="0"/>
          <w:sz w:val="24"/>
          <w:szCs w:val="24"/>
          <w:shd w:val="clear" w:color="auto" w:fill="auto"/>
          <w:lang w:val="ru-RU" w:eastAsia="ru-RU" w:bidi="ru-RU"/>
        </w:rPr>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6"/>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РЕШИЛА:</w:t>
      </w:r>
    </w:p>
    <w:p>
      <w:pPr>
        <w:pStyle w:val="Style16"/>
        <w:keepNext w:val="0"/>
        <w:keepLines w:val="0"/>
        <w:widowControl w:val="0"/>
        <w:shd w:val="clear" w:color="auto" w:fill="auto"/>
        <w:tabs>
          <w:tab w:pos="614" w:val="left"/>
        </w:tabs>
        <w:bidi w:val="0"/>
        <w:spacing w:before="0" w:after="0"/>
        <w:ind w:left="0" w:right="0" w:firstLine="0"/>
        <w:jc w:val="both"/>
      </w:pPr>
      <w:r>
        <w:rPr>
          <w:color w:val="000000"/>
          <w:spacing w:val="0"/>
          <w:w w:val="100"/>
          <w:position w:val="0"/>
          <w:sz w:val="24"/>
          <w:szCs w:val="24"/>
          <w:shd w:val="clear" w:color="auto" w:fill="auto"/>
          <w:lang w:val="ru-RU" w:eastAsia="ru-RU" w:bidi="ru-RU"/>
        </w:rPr>
        <w:t>1.</w:t>
        <w:tab/>
        <w:t>Признать жалобу ИП Воробьев Александр Валерьевич необоснованной.</w:t>
      </w:r>
    </w:p>
    <w:p>
      <w:pPr>
        <w:pStyle w:val="Style16"/>
        <w:keepNext w:val="0"/>
        <w:keepLines w:val="0"/>
        <w:widowControl w:val="0"/>
        <w:shd w:val="clear" w:color="auto" w:fill="auto"/>
        <w:bidi w:val="0"/>
        <w:spacing w:before="0" w:after="600"/>
        <w:ind w:left="0" w:right="0" w:firstLine="0"/>
        <w:jc w:val="both"/>
      </w:pPr>
      <w:r>
        <w:rPr>
          <w:color w:val="000000"/>
          <w:spacing w:val="0"/>
          <w:w w:val="100"/>
          <w:position w:val="0"/>
          <w:sz w:val="24"/>
          <w:szCs w:val="24"/>
          <w:shd w:val="clear" w:color="auto" w:fill="auto"/>
          <w:lang w:val="ru-RU" w:eastAsia="ru-RU" w:bidi="ru-RU"/>
        </w:rPr>
        <w:t>2. В соответствии со статьи 106 Закона о контрактной системе направить настоящее решение сторонам.</w:t>
      </w:r>
    </w:p>
    <w:p>
      <w:pPr>
        <w:pStyle w:val="Style16"/>
        <w:keepNext w:val="0"/>
        <w:keepLines w:val="0"/>
        <w:widowControl w:val="0"/>
        <w:shd w:val="clear" w:color="auto" w:fill="auto"/>
        <w:bidi w:val="0"/>
        <w:spacing w:before="0" w:after="60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5735955</wp:posOffset>
                </wp:positionH>
                <wp:positionV relativeFrom="paragraph">
                  <wp:posOffset>12700</wp:posOffset>
                </wp:positionV>
                <wp:extent cx="831850" cy="189230"/>
                <wp:wrapSquare wrapText="left"/>
                <wp:docPr id="9" name="Shape 9"/>
                <a:graphic xmlns:a="http://schemas.openxmlformats.org/drawingml/2006/main">
                  <a:graphicData uri="http://schemas.microsoft.com/office/word/2010/wordprocessingShape">
                    <wps:wsp>
                      <wps:cNvSpPr txBox="1"/>
                      <wps:spPr>
                        <a:xfrm>
                          <a:ext cx="831850" cy="1892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Р.В. Евлоев</w:t>
                            </w:r>
                          </w:p>
                        </w:txbxContent>
                      </wps:txbx>
                      <wps:bodyPr wrap="none" lIns="0" tIns="0" rIns="0" bIns="0">
                        <a:noAutoFit/>
                      </wps:bodyPr>
                    </wps:wsp>
                  </a:graphicData>
                </a:graphic>
              </wp:anchor>
            </w:drawing>
          </mc:Choice>
          <mc:Fallback>
            <w:pict>
              <v:shape id="_x0000_s1035" type="#_x0000_t202" style="position:absolute;margin-left:451.65000000000003pt;margin-top:1.pt;width:65.5pt;height:14.9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Р.В. Евлоев</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6"/>
        <w:keepNext w:val="0"/>
        <w:keepLines w:val="0"/>
        <w:widowControl w:val="0"/>
        <w:shd w:val="clear" w:color="auto" w:fill="auto"/>
        <w:bidi w:val="0"/>
        <w:spacing w:before="0" w:after="600" w:line="240" w:lineRule="auto"/>
        <w:ind w:left="5660" w:right="0" w:firstLine="0"/>
        <w:jc w:val="both"/>
      </w:pPr>
      <w:r>
        <mc:AlternateContent>
          <mc:Choice Requires="wps">
            <w:drawing>
              <wp:anchor distT="0" distB="0" distL="114300" distR="114300" simplePos="0" relativeHeight="125829380" behindDoc="0" locked="0" layoutInCell="1" allowOverlap="1">
                <wp:simplePos x="0" y="0"/>
                <wp:positionH relativeFrom="page">
                  <wp:posOffset>779780</wp:posOffset>
                </wp:positionH>
                <wp:positionV relativeFrom="paragraph">
                  <wp:posOffset>12700</wp:posOffset>
                </wp:positionV>
                <wp:extent cx="1249680" cy="189230"/>
                <wp:wrapSquare wrapText="bothSides"/>
                <wp:docPr id="11" name="Shape 11"/>
                <a:graphic xmlns:a="http://schemas.openxmlformats.org/drawingml/2006/main">
                  <a:graphicData uri="http://schemas.microsoft.com/office/word/2010/wordprocessingShape">
                    <wps:wsp>
                      <wps:cNvSpPr txBox="1"/>
                      <wps:spPr>
                        <a:xfrm>
                          <a:ext cx="1249680" cy="1892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7" type="#_x0000_t202" style="position:absolute;margin-left:61.399999999999999pt;margin-top:1.pt;width:98.400000000000006pt;height:14.9pt;z-index:-125829373;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М.М. Халмурзиев</w:t>
      </w:r>
    </w:p>
    <w:p>
      <w:pPr>
        <w:pStyle w:val="Style16"/>
        <w:keepNext w:val="0"/>
        <w:keepLines w:val="0"/>
        <w:widowControl w:val="0"/>
        <w:shd w:val="clear" w:color="auto" w:fill="auto"/>
        <w:bidi w:val="0"/>
        <w:spacing w:before="0" w:after="5380" w:line="240" w:lineRule="auto"/>
        <w:ind w:left="7800" w:right="0" w:firstLine="0"/>
        <w:jc w:val="both"/>
      </w:pPr>
      <w:r>
        <w:rPr>
          <w:color w:val="000000"/>
          <w:spacing w:val="0"/>
          <w:w w:val="100"/>
          <w:position w:val="0"/>
          <w:sz w:val="24"/>
          <w:szCs w:val="24"/>
          <w:shd w:val="clear" w:color="auto" w:fill="auto"/>
          <w:lang w:val="ru-RU" w:eastAsia="ru-RU" w:bidi="ru-RU"/>
        </w:rPr>
        <w:t>М.М. Точиев</w:t>
      </w:r>
    </w:p>
    <w:p>
      <w:pPr>
        <w:pStyle w:val="Style16"/>
        <w:keepNext w:val="0"/>
        <w:keepLines w:val="0"/>
        <w:widowControl w:val="0"/>
        <w:shd w:val="clear" w:color="auto" w:fill="auto"/>
        <w:bidi w:val="0"/>
        <w:spacing w:before="0" w:after="0" w:line="240" w:lineRule="auto"/>
        <w:ind w:left="0" w:right="0" w:firstLine="560"/>
        <w:jc w:val="both"/>
        <w:rPr>
          <w:sz w:val="22"/>
          <w:szCs w:val="22"/>
        </w:rPr>
      </w:pPr>
      <w:r>
        <w:rPr>
          <w:color w:val="000000"/>
          <w:spacing w:val="0"/>
          <w:w w:val="100"/>
          <w:position w:val="0"/>
          <w:sz w:val="22"/>
          <w:szCs w:val="22"/>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16"/>
        <w:keepNext w:val="0"/>
        <w:keepLines w:val="0"/>
        <w:widowControl w:val="0"/>
        <w:shd w:val="clear" w:color="auto" w:fill="auto"/>
        <w:bidi w:val="0"/>
        <w:spacing w:before="0" w:after="0" w:line="240" w:lineRule="auto"/>
        <w:ind w:left="0" w:right="0" w:firstLine="560"/>
        <w:jc w:val="both"/>
        <w:rPr>
          <w:sz w:val="22"/>
          <w:szCs w:val="22"/>
        </w:rPr>
      </w:pPr>
      <w:r>
        <w:rPr>
          <w:color w:val="000000"/>
          <w:spacing w:val="0"/>
          <w:w w:val="100"/>
          <w:position w:val="0"/>
          <w:sz w:val="22"/>
          <w:szCs w:val="22"/>
          <w:shd w:val="clear" w:color="auto" w:fill="auto"/>
          <w:lang w:val="ru-RU" w:eastAsia="ru-RU" w:bidi="ru-RU"/>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footnotePr>
        <w:pos w:val="pageBottom"/>
        <w:numFmt w:val="decimal"/>
        <w:numRestart w:val="continuous"/>
      </w:footnotePr>
      <w:type w:val="continuous"/>
      <w:pgSz w:w="11900" w:h="16840"/>
      <w:pgMar w:top="1775" w:right="390" w:bottom="1217" w:left="122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810260</wp:posOffset>
              </wp:positionH>
              <wp:positionV relativeFrom="page">
                <wp:posOffset>10060940</wp:posOffset>
              </wp:positionV>
              <wp:extent cx="652145" cy="106680"/>
              <wp:wrapNone/>
              <wp:docPr id="5" name="Shape 5"/>
              <a:graphic xmlns:a="http://schemas.openxmlformats.org/drawingml/2006/main">
                <a:graphicData uri="http://schemas.microsoft.com/office/word/2010/wordprocessingShape">
                  <wps:wsp>
                    <wps:cNvSpPr txBox="1"/>
                    <wps:spPr>
                      <a:xfrm>
                        <a:ext cx="652145" cy="1066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2023-1393</w:t>
                          </w:r>
                        </w:p>
                      </w:txbxContent>
                    </wps:txbx>
                    <wps:bodyPr wrap="none" lIns="0" tIns="0" rIns="0" bIns="0">
                      <a:spAutoFit/>
                    </wps:bodyPr>
                  </wps:wsp>
                </a:graphicData>
              </a:graphic>
            </wp:anchor>
          </w:drawing>
        </mc:Choice>
        <mc:Fallback>
          <w:pict>
            <v:shape id="_x0000_s1031" type="#_x0000_t202" style="position:absolute;margin-left:63.800000000000004pt;margin-top:792.20000000000005pt;width:51.350000000000001pt;height:8.4000000000000004pt;z-index:-188744060;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2023-1393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816610</wp:posOffset>
              </wp:positionH>
              <wp:positionV relativeFrom="page">
                <wp:posOffset>9926955</wp:posOffset>
              </wp:positionV>
              <wp:extent cx="646430" cy="106680"/>
              <wp:wrapNone/>
              <wp:docPr id="7" name="Shape 7"/>
              <a:graphic xmlns:a="http://schemas.openxmlformats.org/drawingml/2006/main">
                <a:graphicData uri="http://schemas.microsoft.com/office/word/2010/wordprocessingShape">
                  <wps:wsp>
                    <wps:cNvSpPr txBox="1"/>
                    <wps:spPr>
                      <a:xfrm>
                        <a:ext cx="646430" cy="1066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2023-1393</w:t>
                          </w:r>
                        </w:p>
                      </w:txbxContent>
                    </wps:txbx>
                    <wps:bodyPr wrap="none" lIns="0" tIns="0" rIns="0" bIns="0">
                      <a:spAutoFit/>
                    </wps:bodyPr>
                  </wps:wsp>
                </a:graphicData>
              </a:graphic>
            </wp:anchor>
          </w:drawing>
        </mc:Choice>
        <mc:Fallback>
          <w:pict>
            <v:shape id="_x0000_s1033" type="#_x0000_t202" style="position:absolute;margin-left:64.299999999999997pt;margin-top:781.64999999999998pt;width:50.899999999999999pt;height:8.4000000000000004pt;z-index:-188744058;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2023-1393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4004310</wp:posOffset>
              </wp:positionH>
              <wp:positionV relativeFrom="page">
                <wp:posOffset>788670</wp:posOffset>
              </wp:positionV>
              <wp:extent cx="79375" cy="121920"/>
              <wp:wrapNone/>
              <wp:docPr id="3" name="Shape 3"/>
              <a:graphic xmlns:a="http://schemas.openxmlformats.org/drawingml/2006/main">
                <a:graphicData uri="http://schemas.microsoft.com/office/word/2010/wordprocessingShape">
                  <wps:wsp>
                    <wps:cNvSpPr txBox="1"/>
                    <wps:spPr>
                      <a:xfrm>
                        <a:ext cx="79375" cy="12192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15.30000000000001pt;margin-top:62.100000000000001pt;width:6.25pt;height:9.5999999999999996pt;z-index:-188744062;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6"/>
      <w:szCs w:val="16"/>
      <w:u w:val="none"/>
    </w:rPr>
  </w:style>
  <w:style w:type="character" w:customStyle="1" w:styleId="CharStyle6">
    <w:name w:val="Основной текст (4)_"/>
    <w:basedOn w:val="DefaultParagraphFont"/>
    <w:link w:val="Style5"/>
    <w:rPr>
      <w:b w:val="0"/>
      <w:bCs w:val="0"/>
      <w:i w:val="0"/>
      <w:iCs w:val="0"/>
      <w:smallCaps w:val="0"/>
      <w:strike w:val="0"/>
      <w:sz w:val="22"/>
      <w:szCs w:val="22"/>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iCs/>
      <w:smallCaps w:val="0"/>
      <w:strike w:val="0"/>
      <w:color w:val="241E7D"/>
      <w:sz w:val="28"/>
      <w:szCs w:val="28"/>
      <w:u w:val="single"/>
    </w:rPr>
  </w:style>
  <w:style w:type="character" w:customStyle="1" w:styleId="CharStyle15">
    <w:name w:val="Основной текст (5)_"/>
    <w:basedOn w:val="DefaultParagraphFont"/>
    <w:link w:val="Style14"/>
    <w:rPr>
      <w:rFonts w:ascii="Times New Roman" w:eastAsia="Times New Roman" w:hAnsi="Times New Roman" w:cs="Times New Roman"/>
      <w:b w:val="0"/>
      <w:bCs w:val="0"/>
      <w:i w:val="0"/>
      <w:iCs w:val="0"/>
      <w:smallCaps w:val="0"/>
      <w:strike w:val="0"/>
      <w:sz w:val="18"/>
      <w:szCs w:val="18"/>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8"/>
      <w:szCs w:val="38"/>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120" w:line="276" w:lineRule="auto"/>
      <w:ind w:left="460" w:firstLine="20"/>
    </w:pPr>
    <w:rPr>
      <w:rFonts w:ascii="Times New Roman" w:eastAsia="Times New Roman" w:hAnsi="Times New Roman" w:cs="Times New Roman"/>
      <w:b w:val="0"/>
      <w:bCs w:val="0"/>
      <w:i w:val="0"/>
      <w:iCs w:val="0"/>
      <w:smallCaps w:val="0"/>
      <w:strike w:val="0"/>
      <w:sz w:val="16"/>
      <w:szCs w:val="16"/>
      <w:u w:val="none"/>
    </w:rPr>
  </w:style>
  <w:style w:type="paragraph" w:customStyle="1" w:styleId="Style5">
    <w:name w:val="Основной текст (4)"/>
    <w:basedOn w:val="Normal"/>
    <w:link w:val="CharStyle6"/>
    <w:pPr>
      <w:widowControl w:val="0"/>
      <w:shd w:val="clear" w:color="auto" w:fill="auto"/>
      <w:spacing w:line="223" w:lineRule="auto"/>
      <w:jc w:val="center"/>
    </w:pPr>
    <w:rPr>
      <w:b w:val="0"/>
      <w:bCs w:val="0"/>
      <w:i w:val="0"/>
      <w:iCs w:val="0"/>
      <w:smallCaps w:val="0"/>
      <w:strike w:val="0"/>
      <w:sz w:val="22"/>
      <w:szCs w:val="22"/>
      <w:u w:val="none"/>
    </w:rPr>
  </w:style>
  <w:style w:type="paragraph" w:customStyle="1" w:styleId="Style7">
    <w:name w:val="Основной текст (3)"/>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Заголовок №2"/>
    <w:basedOn w:val="Normal"/>
    <w:link w:val="CharStyle11"/>
    <w:pPr>
      <w:widowControl w:val="0"/>
      <w:shd w:val="clear" w:color="auto" w:fill="auto"/>
      <w:outlineLvl w:val="1"/>
    </w:pPr>
    <w:rPr>
      <w:rFonts w:ascii="Times New Roman" w:eastAsia="Times New Roman" w:hAnsi="Times New Roman" w:cs="Times New Roman"/>
      <w:b w:val="0"/>
      <w:bCs w:val="0"/>
      <w:i/>
      <w:iCs/>
      <w:smallCaps w:val="0"/>
      <w:strike w:val="0"/>
      <w:color w:val="241E7D"/>
      <w:sz w:val="28"/>
      <w:szCs w:val="28"/>
      <w:u w:val="single"/>
    </w:rPr>
  </w:style>
  <w:style w:type="paragraph" w:customStyle="1" w:styleId="Style14">
    <w:name w:val="Основной текст (5)"/>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18"/>
      <w:szCs w:val="18"/>
      <w:u w:val="none"/>
    </w:rPr>
  </w:style>
  <w:style w:type="paragraph" w:customStyle="1" w:styleId="Style16">
    <w:name w:val="Основной текст"/>
    <w:basedOn w:val="Normal"/>
    <w:link w:val="CharStyle17"/>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Заголовок №1"/>
    <w:basedOn w:val="Normal"/>
    <w:link w:val="CharStyle22"/>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 w:type="paragraph" w:customStyle="1" w:styleId="Style24">
    <w:name w:val="Другое"/>
    <w:basedOn w:val="Normal"/>
    <w:link w:val="CharStyle25"/>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