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618615" distL="974090" distR="958215" simplePos="0" relativeHeight="125829378" behindDoc="0" locked="0" layoutInCell="1" allowOverlap="1">
            <wp:simplePos x="0" y="0"/>
            <wp:positionH relativeFrom="page">
              <wp:posOffset>1856105</wp:posOffset>
            </wp:positionH>
            <wp:positionV relativeFrom="paragraph">
              <wp:posOffset>12700</wp:posOffset>
            </wp:positionV>
            <wp:extent cx="536575" cy="62166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21665"/>
                    </a:xfrm>
                    <a:prstGeom prst="rect"/>
                  </pic:spPr>
                </pic:pic>
              </a:graphicData>
            </a:graphic>
          </wp:anchor>
        </w:drawing>
      </w:r>
      <w:r>
        <mc:AlternateContent>
          <mc:Choice Requires="wps">
            <w:drawing>
              <wp:anchor distT="719455" distB="679450" distL="114300" distR="114300" simplePos="0" relativeHeight="125829379" behindDoc="0" locked="0" layoutInCell="1" allowOverlap="1">
                <wp:simplePos x="0" y="0"/>
                <wp:positionH relativeFrom="page">
                  <wp:posOffset>996315</wp:posOffset>
                </wp:positionH>
                <wp:positionV relativeFrom="paragraph">
                  <wp:posOffset>732155</wp:posOffset>
                </wp:positionV>
                <wp:extent cx="2240280" cy="838200"/>
                <wp:wrapSquare wrapText="right"/>
                <wp:docPr id="3" name="Shape 3"/>
                <a:graphic xmlns:a="http://schemas.openxmlformats.org/drawingml/2006/main">
                  <a:graphicData uri="http://schemas.microsoft.com/office/word/2010/wordprocessingShape">
                    <wps:wsp>
                      <wps:cNvSpPr txBox="1"/>
                      <wps:spPr>
                        <a:xfrm>
                          <a:ext cx="2240280" cy="8382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8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0"/>
                              <w:ind w:left="0" w:right="0" w:firstLine="0"/>
                              <w:jc w:val="center"/>
                            </w:pPr>
                            <w:r>
                              <w:rPr>
                                <w:rFonts w:ascii="Courier New" w:eastAsia="Courier New" w:hAnsi="Courier New" w:cs="Courier New"/>
                                <w:color w:val="000000"/>
                                <w:spacing w:val="0"/>
                                <w:w w:val="100"/>
                                <w:position w:val="0"/>
                                <w:shd w:val="clear" w:color="auto" w:fill="auto"/>
                                <w:lang w:val="ru-RU" w:eastAsia="ru-RU" w:bidi="ru-RU"/>
                              </w:rPr>
                              <w:t>УПРАВЛЕНИЕ</w:t>
                            </w:r>
                          </w:p>
                          <w:p>
                            <w:pPr>
                              <w:pStyle w:val="Style7"/>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Федеральной антимонопольной службы</w:t>
                              <w:br/>
                              <w:t>ио Республике Ингушетия</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8.450000000000003pt;margin-top:57.649999999999999pt;width:176.40000000000001pt;height:66.pt;z-index:-125829374;mso-wrap-distance-left:9.pt;mso-wrap-distance-top:56.649999999999999pt;mso-wrap-distance-right:9.pt;mso-wrap-distance-bottom:53.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ФЕДЕРАЛЬНАЯ</w:t>
                      </w:r>
                    </w:p>
                    <w:p>
                      <w:pPr>
                        <w:pStyle w:val="Style2"/>
                        <w:keepNext w:val="0"/>
                        <w:keepLines w:val="0"/>
                        <w:widowControl w:val="0"/>
                        <w:shd w:val="clear" w:color="auto" w:fill="auto"/>
                        <w:bidi w:val="0"/>
                        <w:spacing w:before="0" w:after="18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АНТИМОНОПОЛЬНАЯ СЛУЖБА</w:t>
                      </w:r>
                    </w:p>
                    <w:p>
                      <w:pPr>
                        <w:pStyle w:val="Style5"/>
                        <w:keepNext w:val="0"/>
                        <w:keepLines w:val="0"/>
                        <w:widowControl w:val="0"/>
                        <w:shd w:val="clear" w:color="auto" w:fill="auto"/>
                        <w:bidi w:val="0"/>
                        <w:spacing w:before="0" w:after="0"/>
                        <w:ind w:left="0" w:right="0" w:firstLine="0"/>
                        <w:jc w:val="center"/>
                      </w:pPr>
                      <w:r>
                        <w:rPr>
                          <w:rFonts w:ascii="Courier New" w:eastAsia="Courier New" w:hAnsi="Courier New" w:cs="Courier New"/>
                          <w:color w:val="000000"/>
                          <w:spacing w:val="0"/>
                          <w:w w:val="100"/>
                          <w:position w:val="0"/>
                          <w:shd w:val="clear" w:color="auto" w:fill="auto"/>
                          <w:lang w:val="ru-RU" w:eastAsia="ru-RU" w:bidi="ru-RU"/>
                        </w:rPr>
                        <w:t>УПРАВЛЕНИЕ</w:t>
                      </w:r>
                    </w:p>
                    <w:p>
                      <w:pPr>
                        <w:pStyle w:val="Style7"/>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Федеральной антимонопольной службы</w:t>
                        <w:br/>
                        <w:t>ио Республике Ингушетия</w:t>
                      </w:r>
                    </w:p>
                  </w:txbxContent>
                </v:textbox>
                <w10:wrap type="square" side="right" anchorx="page"/>
              </v:shape>
            </w:pict>
          </mc:Fallback>
        </mc:AlternateContent>
      </w:r>
      <w:r>
        <mc:AlternateContent>
          <mc:Choice Requires="wps">
            <w:drawing>
              <wp:anchor distT="1682750" distB="0" distL="617220" distR="629285" simplePos="0" relativeHeight="125829381" behindDoc="0" locked="0" layoutInCell="1" allowOverlap="1">
                <wp:simplePos x="0" y="0"/>
                <wp:positionH relativeFrom="page">
                  <wp:posOffset>1499235</wp:posOffset>
                </wp:positionH>
                <wp:positionV relativeFrom="paragraph">
                  <wp:posOffset>1695450</wp:posOffset>
                </wp:positionV>
                <wp:extent cx="1222375" cy="554990"/>
                <wp:wrapSquare wrapText="right"/>
                <wp:docPr id="5" name="Shape 5"/>
                <a:graphic xmlns:a="http://schemas.openxmlformats.org/drawingml/2006/main">
                  <a:graphicData uri="http://schemas.microsoft.com/office/word/2010/wordprocessingShape">
                    <wps:wsp>
                      <wps:cNvSpPr txBox="1"/>
                      <wps:spPr>
                        <a:xfrm>
                          <a:ext cx="1222375" cy="554990"/>
                        </a:xfrm>
                        <a:prstGeom prst="rect"/>
                        <a:noFill/>
                      </wps:spPr>
                      <wps:txbx>
                        <w:txbxContent>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Победы, 3, КерП. «С»</w:t>
                              <w:br/>
                              <w:t>г. Назрань, 386102</w:t>
                              <w:br/>
                              <w:t>тех'ф * те (8732 ) 22-87-28</w:t>
                              <w:br/>
                              <w:t>е-п’.-л:~С.15.у.га</w:t>
                            </w:r>
                          </w:p>
                        </w:txbxContent>
                      </wps:txbx>
                      <wps:bodyPr lIns="0" tIns="0" rIns="0" bIns="0">
                        <a:noAutoFit/>
                      </wps:bodyPr>
                    </wps:wsp>
                  </a:graphicData>
                </a:graphic>
              </wp:anchor>
            </w:drawing>
          </mc:Choice>
          <mc:Fallback>
            <w:pict>
              <v:shape id="_x0000_s1031" type="#_x0000_t202" style="position:absolute;margin-left:118.05pt;margin-top:133.5pt;width:96.25pt;height:43.700000000000003pt;z-index:-125829372;mso-wrap-distance-left:48.600000000000001pt;mso-wrap-distance-top:132.5pt;mso-wrap-distance-right:49.550000000000004pt;mso-position-horizontal-relative:page" filled="f" stroked="f">
                <v:textbox inset="0,0,0,0">
                  <w:txbxContent>
                    <w:p>
                      <w:pPr>
                        <w:pStyle w:val="Style2"/>
                        <w:keepNext w:val="0"/>
                        <w:keepLines w:val="0"/>
                        <w:widowControl w:val="0"/>
                        <w:shd w:val="clear" w:color="auto" w:fill="auto"/>
                        <w:bidi w:val="0"/>
                        <w:spacing w:before="0" w:after="0"/>
                        <w:ind w:left="0" w:right="0" w:firstLine="0"/>
                        <w:jc w:val="center"/>
                      </w:pPr>
                      <w:r>
                        <w:rPr>
                          <w:color w:val="000000"/>
                          <w:spacing w:val="0"/>
                          <w:w w:val="100"/>
                          <w:position w:val="0"/>
                          <w:shd w:val="clear" w:color="auto" w:fill="auto"/>
                          <w:lang w:val="ru-RU" w:eastAsia="ru-RU" w:bidi="ru-RU"/>
                        </w:rPr>
                        <w:t>ул. Победы, 3, КерП. «С»</w:t>
                        <w:br/>
                        <w:t>г. Назрань, 386102</w:t>
                        <w:br/>
                        <w:t>тех'ф * те (8732 ) 22-87-28</w:t>
                        <w:br/>
                        <w:t>е-п’.-л:~С.15.у.га</w:t>
                      </w:r>
                    </w:p>
                  </w:txbxContent>
                </v:textbox>
                <w10:wrap type="square" side="right" anchorx="page"/>
              </v:shape>
            </w:pict>
          </mc:Fallback>
        </mc:AlternateContent>
      </w:r>
    </w:p>
    <w:p>
      <w:pPr>
        <w:pStyle w:val="Style10"/>
        <w:keepNext w:val="0"/>
        <w:keepLines w:val="0"/>
        <w:widowControl w:val="0"/>
        <w:shd w:val="clear" w:color="auto" w:fill="auto"/>
        <w:bidi w:val="0"/>
        <w:spacing w:before="0" w:after="300" w:line="240" w:lineRule="auto"/>
        <w:ind w:left="1240" w:right="0" w:firstLine="0"/>
        <w:jc w:val="left"/>
      </w:pPr>
      <w:r>
        <w:rPr>
          <w:color w:val="000000"/>
          <w:spacing w:val="0"/>
          <w:w w:val="100"/>
          <w:position w:val="0"/>
          <w:shd w:val="clear" w:color="auto" w:fill="auto"/>
          <w:lang w:val="ru-RU" w:eastAsia="ru-RU" w:bidi="ru-RU"/>
        </w:rPr>
        <w:t>ИП Воробьев Александр Валерьевич 1аМ8о1а.уЪ§@§тай.сот</w:t>
      </w:r>
    </w:p>
    <w:p>
      <w:pPr>
        <w:pStyle w:val="Style10"/>
        <w:keepNext w:val="0"/>
        <w:keepLines w:val="0"/>
        <w:widowControl w:val="0"/>
        <w:shd w:val="clear" w:color="auto" w:fill="auto"/>
        <w:bidi w:val="0"/>
        <w:spacing w:before="0" w:after="300" w:line="254" w:lineRule="auto"/>
        <w:ind w:left="1240" w:right="0" w:firstLine="0"/>
        <w:jc w:val="left"/>
      </w:pPr>
      <w:r>
        <w:rPr>
          <w:color w:val="000000"/>
          <w:spacing w:val="0"/>
          <w:w w:val="100"/>
          <w:position w:val="0"/>
          <w:shd w:val="clear" w:color="auto" w:fill="auto"/>
          <w:lang w:val="ru-RU" w:eastAsia="ru-RU" w:bidi="ru-RU"/>
        </w:rPr>
        <w:t>ГБУ «Республиканский эндокринологический диспансер» геб_т2@та11.гп, ап8аг18ес11оеу@п1а11.ги</w:t>
      </w:r>
    </w:p>
    <w:p>
      <w:pPr>
        <w:pStyle w:val="Style10"/>
        <w:keepNext w:val="0"/>
        <w:keepLines w:val="0"/>
        <w:widowControl w:val="0"/>
        <w:shd w:val="clear" w:color="auto" w:fill="auto"/>
        <w:bidi w:val="0"/>
        <w:spacing w:before="0" w:after="0" w:line="240" w:lineRule="auto"/>
        <w:ind w:left="1240" w:right="0" w:firstLine="0"/>
        <w:jc w:val="left"/>
      </w:pPr>
      <w:r>
        <w:rPr>
          <w:color w:val="000000"/>
          <w:spacing w:val="0"/>
          <w:w w:val="100"/>
          <w:position w:val="0"/>
          <w:shd w:val="clear" w:color="auto" w:fill="auto"/>
          <w:lang w:val="ru-RU" w:eastAsia="ru-RU" w:bidi="ru-RU"/>
        </w:rPr>
        <w:t>Комитет государственного заказа</w:t>
      </w:r>
    </w:p>
    <w:p>
      <w:pPr>
        <w:pStyle w:val="Style10"/>
        <w:keepNext w:val="0"/>
        <w:keepLines w:val="0"/>
        <w:widowControl w:val="0"/>
        <w:shd w:val="clear" w:color="auto" w:fill="auto"/>
        <w:bidi w:val="0"/>
        <w:spacing w:before="0" w:after="100" w:line="240" w:lineRule="auto"/>
        <w:ind w:left="5320" w:right="0" w:hanging="4080"/>
        <w:jc w:val="left"/>
      </w:pPr>
      <w:r>
        <w:rPr>
          <w:color w:val="000000"/>
          <w:spacing w:val="0"/>
          <w:w w:val="100"/>
          <w:position w:val="0"/>
          <w:shd w:val="clear" w:color="auto" w:fill="auto"/>
          <w:lang w:val="ru-RU" w:eastAsia="ru-RU" w:bidi="ru-RU"/>
        </w:rPr>
        <w:t>Республики Ингушетия хауаукап@тай.ги</w:t>
      </w:r>
    </w:p>
    <w:p>
      <w:pPr>
        <w:pStyle w:val="Style7"/>
        <w:keepNext w:val="0"/>
        <w:keepLines w:val="0"/>
        <w:widowControl w:val="0"/>
        <w:shd w:val="clear" w:color="auto" w:fill="auto"/>
        <w:bidi w:val="0"/>
        <w:spacing w:before="0" w:after="1640" w:line="240" w:lineRule="auto"/>
        <w:ind w:left="0" w:right="0" w:firstLine="0"/>
        <w:jc w:val="left"/>
        <w:rPr>
          <w:sz w:val="19"/>
          <w:szCs w:val="19"/>
        </w:rPr>
      </w:pPr>
      <w:r>
        <mc:AlternateContent>
          <mc:Choice Requires="wps">
            <w:drawing>
              <wp:anchor distT="0" distB="0" distL="114300" distR="114300" simplePos="0" relativeHeight="125829383" behindDoc="0" locked="0" layoutInCell="1" allowOverlap="1">
                <wp:simplePos x="0" y="0"/>
                <wp:positionH relativeFrom="page">
                  <wp:posOffset>2059940</wp:posOffset>
                </wp:positionH>
                <wp:positionV relativeFrom="paragraph">
                  <wp:posOffset>12700</wp:posOffset>
                </wp:positionV>
                <wp:extent cx="146050" cy="152400"/>
                <wp:wrapSquare wrapText="left"/>
                <wp:docPr id="7" name="Shape 7"/>
                <a:graphic xmlns:a="http://schemas.openxmlformats.org/drawingml/2006/main">
                  <a:graphicData uri="http://schemas.microsoft.com/office/word/2010/wordprocessingShape">
                    <wps:wsp>
                      <wps:cNvSpPr txBox="1"/>
                      <wps:spPr>
                        <a:xfrm>
                          <a:ext cx="146050" cy="15240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от</w:t>
                            </w:r>
                          </w:p>
                        </w:txbxContent>
                      </wps:txbx>
                      <wps:bodyPr wrap="none" lIns="0" tIns="0" rIns="0" bIns="0">
                        <a:noAutoFit/>
                      </wps:bodyPr>
                    </wps:wsp>
                  </a:graphicData>
                </a:graphic>
              </wp:anchor>
            </w:drawing>
          </mc:Choice>
          <mc:Fallback>
            <w:pict>
              <v:shape id="_x0000_s1033" type="#_x0000_t202" style="position:absolute;margin-left:162.20000000000002pt;margin-top:1.pt;width:11.5pt;height:12.pt;z-index:-125829370;mso-wrap-distance-left:9.pt;mso-wrap-distance-right:9.pt;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от</w:t>
                      </w:r>
                    </w:p>
                  </w:txbxContent>
                </v:textbox>
                <w10:wrap type="square" side="left" anchorx="page"/>
              </v:shape>
            </w:pict>
          </mc:Fallback>
        </mc:AlternateContent>
      </w:r>
      <w:r>
        <w:rPr>
          <w:color w:val="000000"/>
          <w:spacing w:val="0"/>
          <w:w w:val="100"/>
          <w:position w:val="0"/>
          <w:sz w:val="19"/>
          <w:szCs w:val="19"/>
          <w:shd w:val="clear" w:color="auto" w:fill="auto"/>
          <w:lang w:val="ru-RU" w:eastAsia="ru-RU" w:bidi="ru-RU"/>
        </w:rPr>
        <w:t>НаЛ»</w:t>
      </w:r>
    </w:p>
    <w:p>
      <w:pPr>
        <w:pStyle w:val="Style10"/>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РЕШЕНИЕ</w:t>
      </w:r>
    </w:p>
    <w:p>
      <w:pPr>
        <w:pStyle w:val="Style10"/>
        <w:keepNext w:val="0"/>
        <w:keepLines w:val="0"/>
        <w:widowControl w:val="0"/>
        <w:shd w:val="clear" w:color="auto" w:fill="auto"/>
        <w:bidi w:val="0"/>
        <w:spacing w:before="0" w:after="0" w:line="240" w:lineRule="auto"/>
        <w:ind w:left="0" w:right="0" w:firstLine="2580"/>
        <w:jc w:val="left"/>
      </w:pPr>
      <w:r>
        <w:rPr>
          <w:color w:val="000000"/>
          <w:spacing w:val="0"/>
          <w:w w:val="100"/>
          <w:position w:val="0"/>
          <w:shd w:val="clear" w:color="auto" w:fill="auto"/>
          <w:lang w:val="ru-RU" w:eastAsia="ru-RU" w:bidi="ru-RU"/>
        </w:rPr>
        <w:t>по делу №006/06/106-207/2023 о нарушении законодательства о контрактной системе г. Назрань Резолютивная часть решения объявлена 05 мая 2023 года</w:t>
      </w:r>
    </w:p>
    <w:p>
      <w:pPr>
        <w:pStyle w:val="Style10"/>
        <w:keepNext w:val="0"/>
        <w:keepLines w:val="0"/>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В полном объеме решение изготовлено 12 мая 2023 года</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0"/>
        <w:keepNext w:val="0"/>
        <w:keepLines w:val="0"/>
        <w:widowControl w:val="0"/>
        <w:shd w:val="clear" w:color="auto" w:fill="auto"/>
        <w:bidi w:val="0"/>
        <w:spacing w:before="0" w:after="0" w:line="252" w:lineRule="auto"/>
        <w:ind w:left="0" w:right="0" w:firstLine="720"/>
        <w:jc w:val="left"/>
      </w:pPr>
      <w:r>
        <w:rPr>
          <w:color w:val="000000"/>
          <w:spacing w:val="0"/>
          <w:w w:val="100"/>
          <w:position w:val="0"/>
          <w:shd w:val="clear" w:color="auto" w:fill="auto"/>
          <w:lang w:val="ru-RU" w:eastAsia="ru-RU" w:bidi="ru-RU"/>
        </w:rPr>
        <w:t>Председатель комиссии: Р.В. Евлоев — заместитель руководителя Управления;</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Члены комиссии: М.М. Халмурзиев - начальник отдела контроля торгов Управления, М.М. Точиев - главный специалист-эксперт Управления.</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В отсутствии представителей: заказчика - ГБУ «Республиканский эндокринологический диспансер» (далее - Заказчик), уполномоченного органа - Комитета государственного заказа Республики Ингушетия (далее — Уполномоченный органа), заявителя жалобы - ИП Воробьев Александр Валерьевич (далее - Заявитель).</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Все стороны уведомлены надлежащим образом, заявлений и ходатайств не поступало.</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Рассмотрев жалобу Заявителя на действия (бездействия) Заказчика при проведении процедуры закупки способом электронного аукциона №0114500000823000637 на поставку реагентов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0"/>
        <w:keepNext w:val="0"/>
        <w:keepLines w:val="0"/>
        <w:widowControl w:val="0"/>
        <w:shd w:val="clear" w:color="auto" w:fill="auto"/>
        <w:bidi w:val="0"/>
        <w:spacing w:before="0" w:after="260" w:line="252" w:lineRule="auto"/>
        <w:ind w:left="0" w:right="0" w:firstLine="0"/>
        <w:jc w:val="center"/>
      </w:pPr>
      <w:r>
        <w:rPr>
          <w:color w:val="000000"/>
          <w:spacing w:val="0"/>
          <w:w w:val="100"/>
          <w:position w:val="0"/>
          <w:shd w:val="clear" w:color="auto" w:fill="auto"/>
          <w:lang w:val="ru-RU" w:eastAsia="ru-RU" w:bidi="ru-RU"/>
        </w:rPr>
        <w:t>УСТАНОВИЛА:</w:t>
      </w:r>
    </w:p>
    <w:p>
      <w:pPr>
        <w:pStyle w:val="Style15"/>
        <w:keepNext/>
        <w:keepLines/>
        <w:widowControl w:val="0"/>
        <w:shd w:val="clear" w:color="auto" w:fill="auto"/>
        <w:bidi w:val="0"/>
        <w:spacing w:before="0" w:line="240" w:lineRule="auto"/>
        <w:ind w:left="0" w:right="0" w:firstLine="0"/>
        <w:jc w:val="left"/>
        <w:sectPr>
          <w:footerReference w:type="default" r:id="rId7"/>
          <w:footnotePr>
            <w:pos w:val="pageBottom"/>
            <w:numFmt w:val="decimal"/>
            <w:numRestart w:val="continuous"/>
          </w:footnotePr>
          <w:pgSz w:w="11900" w:h="16840"/>
          <w:pgMar w:top="332" w:right="428" w:bottom="1140" w:left="1194"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111111111111111111111111</w:t>
      </w:r>
      <w:bookmarkEnd w:id="0"/>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Уполномоченным органом в единой информационной системе в сети Интернет по размещению информации о размещении заказов Аудуду.2акирк1.§оу.ги (далее - ЕИС) размещено извещение о проведении Закупки.</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В соответствии с пунктом 3.32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Комиссией Управления на рассмотрении 04.05.2023г. объявлен перерыв до 05.05.2023г.</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Согласно жалобе Заявителя, при размещении извещения Закупки, Заказчиком установлены дополнительные характеристики при описании объекта Закупки не предусмотренные позицией каталога товаров, работ, услуг.</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Управления установила следующее:</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0"/>
        <w:keepNext w:val="0"/>
        <w:keepLines w:val="0"/>
        <w:widowControl w:val="0"/>
        <w:numPr>
          <w:ilvl w:val="0"/>
          <w:numId w:val="1"/>
        </w:numPr>
        <w:shd w:val="clear" w:color="auto" w:fill="auto"/>
        <w:tabs>
          <w:tab w:pos="1042"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извещение об осуществлении закупки размещено в ЕИС - 19.04.2023г;</w:t>
      </w:r>
    </w:p>
    <w:p>
      <w:pPr>
        <w:pStyle w:val="Style10"/>
        <w:keepNext w:val="0"/>
        <w:keepLines w:val="0"/>
        <w:widowControl w:val="0"/>
        <w:numPr>
          <w:ilvl w:val="0"/>
          <w:numId w:val="1"/>
        </w:numPr>
        <w:shd w:val="clear" w:color="auto" w:fill="auto"/>
        <w:tabs>
          <w:tab w:pos="1057" w:val="left"/>
        </w:tabs>
        <w:bidi w:val="0"/>
        <w:spacing w:before="0" w:after="0" w:line="252" w:lineRule="auto"/>
        <w:ind w:left="0" w:right="0" w:firstLine="72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10"/>
        <w:keepNext w:val="0"/>
        <w:keepLines w:val="0"/>
        <w:widowControl w:val="0"/>
        <w:numPr>
          <w:ilvl w:val="0"/>
          <w:numId w:val="1"/>
        </w:numPr>
        <w:shd w:val="clear" w:color="auto" w:fill="auto"/>
        <w:tabs>
          <w:tab w:pos="1066"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- 3 785 266,00 рублей;</w:t>
      </w:r>
    </w:p>
    <w:p>
      <w:pPr>
        <w:pStyle w:val="Style10"/>
        <w:keepNext w:val="0"/>
        <w:keepLines w:val="0"/>
        <w:widowControl w:val="0"/>
        <w:numPr>
          <w:ilvl w:val="0"/>
          <w:numId w:val="1"/>
        </w:numPr>
        <w:shd w:val="clear" w:color="auto" w:fill="auto"/>
        <w:tabs>
          <w:tab w:pos="1071"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дата и время окончания подачи заявок - 28.04.2023г 09:00;</w:t>
      </w:r>
    </w:p>
    <w:p>
      <w:pPr>
        <w:pStyle w:val="Style10"/>
        <w:keepNext w:val="0"/>
        <w:keepLines w:val="0"/>
        <w:widowControl w:val="0"/>
        <w:numPr>
          <w:ilvl w:val="0"/>
          <w:numId w:val="1"/>
        </w:numPr>
        <w:shd w:val="clear" w:color="auto" w:fill="auto"/>
        <w:tabs>
          <w:tab w:pos="1062"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02.05.2023г.</w:t>
      </w:r>
    </w:p>
    <w:p>
      <w:pPr>
        <w:pStyle w:val="Style10"/>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10"/>
        <w:keepNext w:val="0"/>
        <w:keepLines w:val="0"/>
        <w:widowControl w:val="0"/>
        <w:shd w:val="clear" w:color="auto" w:fill="auto"/>
        <w:bidi w:val="0"/>
        <w:spacing w:before="0" w:after="0" w:line="262" w:lineRule="auto"/>
        <w:ind w:left="0" w:right="0" w:firstLine="720"/>
        <w:jc w:val="both"/>
      </w:pPr>
      <w:r>
        <w:rPr>
          <w:b/>
          <w:bCs/>
          <w:color w:val="000000"/>
          <w:spacing w:val="0"/>
          <w:w w:val="100"/>
          <w:position w:val="0"/>
          <w:sz w:val="24"/>
          <w:szCs w:val="24"/>
          <w:shd w:val="clear" w:color="auto" w:fill="auto"/>
          <w:lang w:val="ru-RU" w:eastAsia="ru-RU" w:bidi="ru-RU"/>
        </w:rPr>
        <w:t xml:space="preserve">1. В </w:t>
      </w:r>
      <w:r>
        <w:rPr>
          <w:color w:val="000000"/>
          <w:spacing w:val="0"/>
          <w:w w:val="100"/>
          <w:position w:val="0"/>
          <w:shd w:val="clear" w:color="auto" w:fill="auto"/>
          <w:lang w:val="ru-RU" w:eastAsia="ru-RU" w:bidi="ru-RU"/>
        </w:rPr>
        <w:t>соответствии с пунктом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следующие электронные документы:</w:t>
      </w:r>
    </w:p>
    <w:p>
      <w:pPr>
        <w:pStyle w:val="Style10"/>
        <w:keepNext w:val="0"/>
        <w:keepLines w:val="0"/>
        <w:widowControl w:val="0"/>
        <w:shd w:val="clear" w:color="auto" w:fill="auto"/>
        <w:bidi w:val="0"/>
        <w:spacing w:before="0" w:after="0" w:line="254" w:lineRule="auto"/>
        <w:ind w:left="0" w:right="0" w:firstLine="720"/>
        <w:jc w:val="both"/>
      </w:pPr>
      <w:r>
        <w:rPr>
          <w:color w:val="000000"/>
          <w:spacing w:val="0"/>
          <w:w w:val="100"/>
          <w:position w:val="0"/>
          <w:shd w:val="clear" w:color="auto" w:fill="auto"/>
          <w:lang w:val="ru-RU" w:eastAsia="ru-RU" w:bidi="ru-RU"/>
        </w:rPr>
        <w:t>1) описание объекта закупки в соответствии со статьей 33 Закона о контрактной системе.</w:t>
      </w:r>
    </w:p>
    <w:p>
      <w:pPr>
        <w:pStyle w:val="Style10"/>
        <w:keepNext w:val="0"/>
        <w:keepLines w:val="0"/>
        <w:widowControl w:val="0"/>
        <w:shd w:val="clear" w:color="auto" w:fill="auto"/>
        <w:bidi w:val="0"/>
        <w:spacing w:before="0" w:after="0" w:line="223" w:lineRule="auto"/>
        <w:ind w:left="0" w:right="0" w:firstLine="700"/>
        <w:jc w:val="both"/>
      </w:pPr>
      <w:r>
        <w:rPr>
          <w:color w:val="000000"/>
          <w:spacing w:val="0"/>
          <w:w w:val="100"/>
          <w:position w:val="0"/>
          <w:shd w:val="clear" w:color="auto" w:fill="auto"/>
          <w:lang w:val="ru-RU" w:eastAsia="ru-RU" w:bidi="ru-RU"/>
        </w:rPr>
        <w:t xml:space="preserve">Согласно пунктам 1 и 2 части 1 статьи 33 Закона о контрактной системе, Заказчик </w:t>
      </w:r>
      <w:r>
        <w:rPr>
          <w:color w:val="000000"/>
          <w:spacing w:val="0"/>
          <w:w w:val="100"/>
          <w:position w:val="0"/>
          <w:shd w:val="clear" w:color="auto" w:fill="auto"/>
          <w:lang w:val="ru-RU" w:eastAsia="ru-RU" w:bidi="ru-RU"/>
        </w:rPr>
        <w:t>в случаях, предусмотренных Законом о контрактной системе, при описании объекта закупки должен руководствоваться следующими правилами:</w:t>
      </w:r>
    </w:p>
    <w:p>
      <w:pPr>
        <w:pStyle w:val="Style10"/>
        <w:keepNext w:val="0"/>
        <w:keepLines w:val="0"/>
        <w:widowControl w:val="0"/>
        <w:numPr>
          <w:ilvl w:val="0"/>
          <w:numId w:val="3"/>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0"/>
        <w:keepNext w:val="0"/>
        <w:keepLines w:val="0"/>
        <w:widowControl w:val="0"/>
        <w:numPr>
          <w:ilvl w:val="0"/>
          <w:numId w:val="3"/>
        </w:numPr>
        <w:shd w:val="clear" w:color="auto" w:fill="auto"/>
        <w:tabs>
          <w:tab w:pos="10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Также 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КТРУ), а также правила использования указанного каталога устанавливаются Правительством Российской Федерации.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Правительства РФ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утверждены Правила использования каталога товаров, работ, услуг для обеспечения государственных и муниципальных нужд (далее — Правила).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4 Правил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0"/>
        <w:keepNext w:val="0"/>
        <w:keepLines w:val="0"/>
        <w:widowControl w:val="0"/>
        <w:numPr>
          <w:ilvl w:val="0"/>
          <w:numId w:val="5"/>
        </w:numPr>
        <w:shd w:val="clear" w:color="auto" w:fill="auto"/>
        <w:tabs>
          <w:tab w:pos="106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наименование товара, работы, услуги;</w:t>
      </w:r>
    </w:p>
    <w:p>
      <w:pPr>
        <w:pStyle w:val="Style10"/>
        <w:keepNext w:val="0"/>
        <w:keepLines w:val="0"/>
        <w:widowControl w:val="0"/>
        <w:numPr>
          <w:ilvl w:val="0"/>
          <w:numId w:val="5"/>
        </w:numPr>
        <w:shd w:val="clear" w:color="auto" w:fill="auto"/>
        <w:tabs>
          <w:tab w:pos="119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0"/>
        <w:keepNext w:val="0"/>
        <w:keepLines w:val="0"/>
        <w:widowControl w:val="0"/>
        <w:numPr>
          <w:ilvl w:val="0"/>
          <w:numId w:val="5"/>
        </w:numPr>
        <w:shd w:val="clear" w:color="auto" w:fill="auto"/>
        <w:tabs>
          <w:tab w:pos="108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описание товара, работы, услуги (при наличии такого описания в позиции).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пункту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pPr>
        <w:pStyle w:val="Style10"/>
        <w:keepNext w:val="0"/>
        <w:keepLines w:val="0"/>
        <w:widowControl w:val="0"/>
        <w:numPr>
          <w:ilvl w:val="0"/>
          <w:numId w:val="7"/>
        </w:numPr>
        <w:shd w:val="clear" w:color="auto" w:fill="auto"/>
        <w:tabs>
          <w:tab w:pos="106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w:t>
      </w:r>
      <w:r>
        <w:rPr>
          <w:color w:val="000000"/>
          <w:spacing w:val="0"/>
          <w:w w:val="100"/>
          <w:position w:val="0"/>
          <w:shd w:val="clear" w:color="auto" w:fill="auto"/>
          <w:lang w:val="ru-RU" w:eastAsia="ru-RU" w:bidi="ru-RU"/>
        </w:rPr>
        <w:t>государственных и муниципальных нужд, о внесении изменений в постановление Правительства Российской Федерации от 16 сентября 2016 г.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pPr>
        <w:pStyle w:val="Style10"/>
        <w:keepNext w:val="0"/>
        <w:keepLines w:val="0"/>
        <w:widowControl w:val="0"/>
        <w:numPr>
          <w:ilvl w:val="0"/>
          <w:numId w:val="7"/>
        </w:numPr>
        <w:shd w:val="clear" w:color="auto" w:fill="auto"/>
        <w:tabs>
          <w:tab w:pos="1062" w:val="left"/>
        </w:tabs>
        <w:bidi w:val="0"/>
        <w:spacing w:before="0" w:after="0" w:line="252" w:lineRule="auto"/>
        <w:ind w:left="0" w:right="0" w:firstLine="720"/>
        <w:jc w:val="both"/>
      </w:pPr>
      <w:r>
        <w:rPr>
          <w:color w:val="000000"/>
          <w:spacing w:val="0"/>
          <w:w w:val="100"/>
          <w:position w:val="0"/>
          <w:shd w:val="clear" w:color="auto" w:fill="auto"/>
          <w:lang w:val="ru-RU" w:eastAsia="ru-RU" w:bidi="ru-RU"/>
        </w:rPr>
        <w:t>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Закона о контрактной системе.</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Пунктом 6 Правил установлено, что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электронного документа «Техническое задание», размещенного в составе извещения Закупки позициями объекта Закупки по КТРУ обязательными для применения являются 21.20.23.110-00003977, 21.20.23.110-00003977, 21.20.23.110-00004011, 21.20.23.110-00004690, 21.20.23.110- 00003916, 21.20.23.110-00004629, 21.20.23.110-00004457, 21.20.23.110-00003305, 21.20.23.110-00003642, 21.20.23.110-00004030, 21.20.23.110-00003686, 21.20.23.110- 00004329, 21.20.23.110-00006773, 21.20.23.110-00000958, 21.20.23.110-00003994, 21.20.23.110-00004137, 21.20.23.110-00004240, 21.20.23.110-00003620, 21.20.23.110- 00003262, 21.20.23.110-00003547, 21.20.23.110-00002949.</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Вместе с тем, Комиссией Управления установлено, что описание объекта Закупки содержит дополнительные характеристики (информацию) поставляемого товара, которые не содержатся в соответствующих позициях КТРУ.</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Из указанного следует, что описание объекта Закупки не соответствует КТРУ.</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При этом описание объекта закупки не содержит обоснование необходимости использования такой информации.</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Комиссией Управления в действиях Заказчика признаны нарушения пункта 1 части 2 статьи 42, пунктов 1 и 2 части 1 статьи 33, части 6 статьи 23 Закона о контрактной системе и положений Правил. Жалоба Заявителя признана обоснованной.</w:t>
      </w:r>
    </w:p>
    <w:p>
      <w:pPr>
        <w:pStyle w:val="Style10"/>
        <w:keepNext w:val="0"/>
        <w:keepLines w:val="0"/>
        <w:widowControl w:val="0"/>
        <w:shd w:val="clear" w:color="auto" w:fill="auto"/>
        <w:bidi w:val="0"/>
        <w:spacing w:before="0" w:after="0" w:line="252" w:lineRule="auto"/>
        <w:ind w:left="0" w:right="0" w:firstLine="720"/>
        <w:jc w:val="both"/>
      </w:pPr>
      <w:r>
        <w:rPr>
          <w:color w:val="000000"/>
          <w:spacing w:val="0"/>
          <w:w w:val="100"/>
          <w:position w:val="0"/>
          <w:shd w:val="clear" w:color="auto" w:fill="auto"/>
          <w:lang w:val="ru-RU" w:eastAsia="ru-RU" w:bidi="ru-RU"/>
        </w:rPr>
        <w:t>В ходе проведения внеплановой проверки Комиссией Управления выявлены следующие нарушения норм Закона о контрактной системе.</w:t>
      </w:r>
    </w:p>
    <w:p>
      <w:pPr>
        <w:pStyle w:val="Style10"/>
        <w:keepNext w:val="0"/>
        <w:keepLines w:val="0"/>
        <w:widowControl w:val="0"/>
        <w:shd w:val="clear" w:color="auto" w:fill="auto"/>
        <w:bidi w:val="0"/>
        <w:spacing w:before="0" w:after="0" w:line="252" w:lineRule="auto"/>
        <w:ind w:left="0" w:right="0" w:firstLine="720"/>
        <w:jc w:val="both"/>
      </w:pPr>
      <w:r>
        <w:rPr>
          <w:b/>
          <w:bCs/>
          <w:color w:val="000000"/>
          <w:spacing w:val="0"/>
          <w:w w:val="100"/>
          <w:position w:val="0"/>
          <w:sz w:val="24"/>
          <w:szCs w:val="24"/>
          <w:shd w:val="clear" w:color="auto" w:fill="auto"/>
          <w:lang w:val="ru-RU" w:eastAsia="ru-RU" w:bidi="ru-RU"/>
        </w:rPr>
        <w:t xml:space="preserve">1. </w:t>
      </w:r>
      <w:r>
        <w:rPr>
          <w:color w:val="000000"/>
          <w:spacing w:val="0"/>
          <w:w w:val="100"/>
          <w:position w:val="0"/>
          <w:shd w:val="clear" w:color="auto" w:fill="auto"/>
          <w:lang w:val="ru-RU" w:eastAsia="ru-RU" w:bidi="ru-RU"/>
        </w:rPr>
        <w:t>Согласно пункту 6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количестве (за исключением случая, предусмотренного частью 24 статьи 22 Закона о контрактной системе),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 части 2 статьи 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описание объекта закупки в соответствии со статьей 33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Электронным документом «Тех задание» извещения Закупки предусмотрено, что к поставке необходимы следующие товары - (Общая щелочная фосфатаза (ЩФ) ИВД, реагент, Общая амилаза ИВД, реагент, Общий билирубин ИВД, реагент, Конъюгированный (прямой, связанный) билирубин ИВД, реагент, Кальций (Са2+) ИВД, реагент, Креатинин ИВД, реагент, Глюкоза ИВД, реагент, Холестерин липопротеинов высокой плотности ИВД, реагент, Холестерин липопротеинов низкой плотности ИВД, реагент, Общий холестерин ИВД, реагент, Магний (М§2+) ИВД, реагент, Альбумин ИВД, реагент, Неорганический фосфат (РО43-) ИВД, реагент, Аланинаминотрансфераза (АЛТ) ИВД, набор, спектрофотометрический анализ, Общая аспартатаминотрансфераза ИВД, реагент, Общий белок ИВД, реагент, Триглицерид ИВД, реагент, Мочевина/азот мочевины ИВД, реагент, Мочевая кислота ИВД, реагент, Гликированный гемоглобин (НЪА1с) ИВД, реагент (набор), Гликированный гемоглобин (НЬА1с) ИВД, калибратор (набор), Гликированный гемоглобин (НЬА1с) ИВД, контрольный материал (набор), Гликированный гемоглобин (НЪА1с) ИВД, контрольный материал (набор), Множественные аналиты клинической химии ИВД, калибратор, Раствор реагентов для ионоселективного блока, Очищающий раствор для ионо селективного блока, Промывочный раствор , Промывочный раствор для проточной кюветы, Чашечки для образцов).</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Уполномоченным органом в извещении Закупки указано, что к поставке требуется 1 комплект товара (Реагенты диагностические).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Ввиду вышеизложенного Комиссия Управления приходит к выводу о нарушении в действиях Уполномоченного органа пункта 6 части 1 статьи 42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вопрос выдачи обязательного для исполнения предписания, Комиссия Управления пришла к выводу об отсутствии необходимости выдачи предписания, так как допущенное Заказчиком и Уполномоченным органом нарушения не повлияли на результат определения поставщика. Кроме того, на участие в аукционе подано 4 заявки. По итогам аукциона снижение начальной (максимальной) цены контракта составило 16%, с предложенной ценой контракта 3 179 623,44 руб.</w:t>
      </w:r>
    </w:p>
    <w:p>
      <w:pPr>
        <w:pStyle w:val="Style10"/>
        <w:keepNext w:val="0"/>
        <w:keepLines w:val="0"/>
        <w:widowControl w:val="0"/>
        <w:shd w:val="clear" w:color="auto" w:fill="auto"/>
        <w:tabs>
          <w:tab w:pos="844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 </w:t>
      </w:r>
      <w:r>
        <w:rPr>
          <w:color w:val="000000"/>
          <w:spacing w:val="0"/>
          <w:w w:val="100"/>
          <w:position w:val="0"/>
          <w:u w:val="single"/>
          <w:shd w:val="clear" w:color="auto" w:fill="auto"/>
          <w:lang w:val="ru-RU" w:eastAsia="ru-RU" w:bidi="ru-RU"/>
        </w:rPr>
        <w:t>статьями 99</w:t>
      </w:r>
      <w:r>
        <w:rPr>
          <w:color w:val="000000"/>
          <w:spacing w:val="0"/>
          <w:w w:val="100"/>
          <w:position w:val="0"/>
          <w:shd w:val="clear" w:color="auto" w:fill="auto"/>
          <w:lang w:val="ru-RU" w:eastAsia="ru-RU" w:bidi="ru-RU"/>
        </w:rPr>
        <w:t>,</w:t>
        <w:tab/>
      </w:r>
      <w:r>
        <w:rPr>
          <w:color w:val="000000"/>
          <w:spacing w:val="0"/>
          <w:w w:val="100"/>
          <w:position w:val="0"/>
          <w:u w:val="single"/>
          <w:shd w:val="clear" w:color="auto" w:fill="auto"/>
          <w:lang w:val="ru-RU" w:eastAsia="ru-RU" w:bidi="ru-RU"/>
        </w:rPr>
        <w:t>106</w:t>
      </w:r>
      <w:r>
        <w:rPr>
          <w:color w:val="000000"/>
          <w:spacing w:val="0"/>
          <w:w w:val="100"/>
          <w:position w:val="0"/>
          <w:shd w:val="clear" w:color="auto" w:fill="auto"/>
          <w:lang w:val="ru-RU" w:eastAsia="ru-RU" w:bidi="ru-RU"/>
        </w:rPr>
        <w:t xml:space="preserve"> Закона</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xml:space="preserve">о контрактной системе и </w:t>
      </w:r>
      <w:r>
        <w:rPr>
          <w:color w:val="000000"/>
          <w:spacing w:val="0"/>
          <w:w w:val="100"/>
          <w:position w:val="0"/>
          <w:u w:val="single"/>
          <w:shd w:val="clear" w:color="auto" w:fill="auto"/>
          <w:lang w:val="ru-RU" w:eastAsia="ru-RU" w:bidi="ru-RU"/>
        </w:rPr>
        <w:t>приказом</w:t>
      </w:r>
      <w:r>
        <w:rPr>
          <w:color w:val="000000"/>
          <w:spacing w:val="0"/>
          <w:w w:val="100"/>
          <w:position w:val="0"/>
          <w:shd w:val="clear" w:color="auto" w:fill="auto"/>
          <w:lang w:val="ru-RU" w:eastAsia="ru-RU" w:bidi="ru-RU"/>
        </w:rPr>
        <w:t xml:space="preserve">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br w:type="page"/>
      </w:r>
    </w:p>
    <w:p>
      <w:pPr>
        <w:pStyle w:val="Style10"/>
        <w:keepNext w:val="0"/>
        <w:keepLines w:val="0"/>
        <w:widowControl w:val="0"/>
        <w:shd w:val="clear" w:color="auto" w:fill="auto"/>
        <w:bidi w:val="0"/>
        <w:spacing w:before="0" w:after="0" w:line="252"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numPr>
          <w:ilvl w:val="0"/>
          <w:numId w:val="9"/>
        </w:numPr>
        <w:shd w:val="clear" w:color="auto" w:fill="auto"/>
        <w:tabs>
          <w:tab w:pos="686" w:val="left"/>
        </w:tabs>
        <w:bidi w:val="0"/>
        <w:spacing w:before="0" w:after="0" w:line="252" w:lineRule="auto"/>
        <w:ind w:left="0" w:right="0" w:firstLine="0"/>
        <w:jc w:val="both"/>
      </w:pPr>
      <w:r>
        <w:rPr>
          <w:color w:val="000000"/>
          <w:spacing w:val="0"/>
          <w:w w:val="100"/>
          <w:position w:val="0"/>
          <w:shd w:val="clear" w:color="auto" w:fill="auto"/>
          <w:lang w:val="ru-RU" w:eastAsia="ru-RU" w:bidi="ru-RU"/>
        </w:rPr>
        <w:t>Признать жалобу ИП Воробьев Александр Валерьевич обоснованной;</w:t>
      </w:r>
    </w:p>
    <w:p>
      <w:pPr>
        <w:pStyle w:val="Style10"/>
        <w:keepNext w:val="0"/>
        <w:keepLines w:val="0"/>
        <w:widowControl w:val="0"/>
        <w:numPr>
          <w:ilvl w:val="0"/>
          <w:numId w:val="9"/>
        </w:numPr>
        <w:shd w:val="clear" w:color="auto" w:fill="auto"/>
        <w:tabs>
          <w:tab w:pos="686" w:val="left"/>
        </w:tabs>
        <w:bidi w:val="0"/>
        <w:spacing w:before="0" w:after="0" w:line="252" w:lineRule="auto"/>
        <w:ind w:left="0" w:right="0" w:firstLine="0"/>
        <w:jc w:val="both"/>
      </w:pPr>
      <w:r>
        <w:rPr>
          <w:color w:val="000000"/>
          <w:spacing w:val="0"/>
          <w:w w:val="100"/>
          <w:position w:val="0"/>
          <w:shd w:val="clear" w:color="auto" w:fill="auto"/>
          <w:lang w:val="ru-RU" w:eastAsia="ru-RU" w:bidi="ru-RU"/>
        </w:rPr>
        <w:t>Признать в действиях Заказчика нарушения пункта 1 части 2 статьи 42, пунктов 1 и 2 части 1 статьи 33, части 6 статьи 23 Закона о контрактной системе и положений Правил;</w:t>
      </w:r>
    </w:p>
    <w:p>
      <w:pPr>
        <w:pStyle w:val="Style10"/>
        <w:keepNext w:val="0"/>
        <w:keepLines w:val="0"/>
        <w:widowControl w:val="0"/>
        <w:numPr>
          <w:ilvl w:val="0"/>
          <w:numId w:val="9"/>
        </w:numPr>
        <w:shd w:val="clear" w:color="auto" w:fill="auto"/>
        <w:tabs>
          <w:tab w:pos="686" w:val="left"/>
        </w:tabs>
        <w:bidi w:val="0"/>
        <w:spacing w:before="0" w:after="0" w:line="252" w:lineRule="auto"/>
        <w:ind w:left="0" w:right="0" w:firstLine="0"/>
        <w:jc w:val="both"/>
      </w:pPr>
      <w:r>
        <w:rPr>
          <w:color w:val="000000"/>
          <w:spacing w:val="0"/>
          <w:w w:val="100"/>
          <w:position w:val="0"/>
          <w:shd w:val="clear" w:color="auto" w:fill="auto"/>
          <w:lang w:val="ru-RU" w:eastAsia="ru-RU" w:bidi="ru-RU"/>
        </w:rPr>
        <w:t>Признать в действиях Уполномоченного органа нарушение пункта 6 части 1 статьи 42 Закона о контрактной системе;</w:t>
      </w:r>
    </w:p>
    <w:p>
      <w:pPr>
        <w:pStyle w:val="Style10"/>
        <w:keepNext w:val="0"/>
        <w:keepLines w:val="0"/>
        <w:widowControl w:val="0"/>
        <w:numPr>
          <w:ilvl w:val="0"/>
          <w:numId w:val="9"/>
        </w:numPr>
        <w:shd w:val="clear" w:color="auto" w:fill="auto"/>
        <w:tabs>
          <w:tab w:pos="686" w:val="left"/>
        </w:tabs>
        <w:bidi w:val="0"/>
        <w:spacing w:before="0" w:after="0" w:line="252" w:lineRule="auto"/>
        <w:ind w:left="0" w:right="0" w:firstLine="0"/>
        <w:jc w:val="both"/>
      </w:pPr>
      <w:r>
        <w:rPr>
          <w:color w:val="000000"/>
          <w:spacing w:val="0"/>
          <w:w w:val="100"/>
          <w:position w:val="0"/>
          <w:shd w:val="clear" w:color="auto" w:fill="auto"/>
          <w:lang w:val="ru-RU" w:eastAsia="ru-RU" w:bidi="ru-RU"/>
        </w:rPr>
        <w:t>Предписание не выдавать;</w:t>
      </w:r>
    </w:p>
    <w:p>
      <w:pPr>
        <w:pStyle w:val="Style10"/>
        <w:keepNext w:val="0"/>
        <w:keepLines w:val="0"/>
        <w:widowControl w:val="0"/>
        <w:numPr>
          <w:ilvl w:val="0"/>
          <w:numId w:val="9"/>
        </w:numPr>
        <w:shd w:val="clear" w:color="auto" w:fill="auto"/>
        <w:tabs>
          <w:tab w:pos="686" w:val="left"/>
        </w:tabs>
        <w:bidi w:val="0"/>
        <w:spacing w:before="0" w:after="0" w:line="252" w:lineRule="auto"/>
        <w:ind w:left="0" w:right="0" w:firstLine="0"/>
        <w:jc w:val="both"/>
      </w:pPr>
      <w:r>
        <w:rPr>
          <w:color w:val="000000"/>
          <w:spacing w:val="0"/>
          <w:w w:val="100"/>
          <w:position w:val="0"/>
          <w:shd w:val="clear" w:color="auto" w:fill="auto"/>
          <w:lang w:val="ru-RU" w:eastAsia="ru-RU" w:bidi="ru-RU"/>
        </w:rPr>
        <w:t>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0"/>
        <w:keepNext w:val="0"/>
        <w:keepLines w:val="0"/>
        <w:widowControl w:val="0"/>
        <w:numPr>
          <w:ilvl w:val="0"/>
          <w:numId w:val="9"/>
        </w:numPr>
        <w:shd w:val="clear" w:color="auto" w:fill="auto"/>
        <w:tabs>
          <w:tab w:pos="686" w:val="left"/>
        </w:tabs>
        <w:bidi w:val="0"/>
        <w:spacing w:before="0" w:after="0" w:line="252" w:lineRule="auto"/>
        <w:ind w:left="0" w:right="0" w:firstLine="0"/>
        <w:jc w:val="both"/>
      </w:pPr>
      <w:r>
        <w:rPr>
          <w:color w:val="000000"/>
          <w:spacing w:val="0"/>
          <w:w w:val="100"/>
          <w:position w:val="0"/>
          <w:shd w:val="clear" w:color="auto" w:fill="auto"/>
          <w:lang w:val="ru-RU" w:eastAsia="ru-RU" w:bidi="ru-RU"/>
        </w:rPr>
        <w:t>В соответствии со статьи 106 Закона о контрактной системе направить настоящее решение сторонам.</w:t>
      </w:r>
    </w:p>
    <w:p>
      <w:pPr>
        <w:widowControl w:val="0"/>
        <w:spacing w:line="1" w:lineRule="exact"/>
      </w:pPr>
      <w:r>
        <mc:AlternateContent>
          <mc:Choice Requires="wps">
            <w:drawing>
              <wp:anchor distT="313690" distB="1334770" distL="0" distR="0" simplePos="0" relativeHeight="125829385" behindDoc="0" locked="0" layoutInCell="1" allowOverlap="1">
                <wp:simplePos x="0" y="0"/>
                <wp:positionH relativeFrom="page">
                  <wp:posOffset>775335</wp:posOffset>
                </wp:positionH>
                <wp:positionV relativeFrom="paragraph">
                  <wp:posOffset>313690</wp:posOffset>
                </wp:positionV>
                <wp:extent cx="1837690" cy="207010"/>
                <wp:wrapTopAndBottom/>
                <wp:docPr id="11" name="Shape 11"/>
                <a:graphic xmlns:a="http://schemas.openxmlformats.org/drawingml/2006/main">
                  <a:graphicData uri="http://schemas.microsoft.com/office/word/2010/wordprocessingShape">
                    <wps:wsp>
                      <wps:cNvSpPr txBox="1"/>
                      <wps:spPr>
                        <a:xfrm>
                          <a:ext cx="1837690" cy="2070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7" type="#_x0000_t202" style="position:absolute;margin-left:61.050000000000004pt;margin-top:24.699999999999999pt;width:144.70000000000002pt;height:16.300000000000001pt;z-index:-125829368;mso-wrap-distance-left:0;mso-wrap-distance-top:24.699999999999999pt;mso-wrap-distance-right:0;mso-wrap-distance-bottom:105.10000000000001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904875" distB="746125" distL="0" distR="0" simplePos="0" relativeHeight="125829387" behindDoc="0" locked="0" layoutInCell="1" allowOverlap="1">
                <wp:simplePos x="0" y="0"/>
                <wp:positionH relativeFrom="page">
                  <wp:posOffset>772160</wp:posOffset>
                </wp:positionH>
                <wp:positionV relativeFrom="paragraph">
                  <wp:posOffset>904875</wp:posOffset>
                </wp:positionV>
                <wp:extent cx="1292225" cy="204470"/>
                <wp:wrapTopAndBottom/>
                <wp:docPr id="13" name="Shape 13"/>
                <a:graphic xmlns:a="http://schemas.openxmlformats.org/drawingml/2006/main">
                  <a:graphicData uri="http://schemas.microsoft.com/office/word/2010/wordprocessingShape">
                    <wps:wsp>
                      <wps:cNvSpPr txBox="1"/>
                      <wps:spPr>
                        <a:xfrm>
                          <a:ext cx="1292225" cy="20447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9" type="#_x0000_t202" style="position:absolute;margin-left:60.800000000000004pt;margin-top:71.25pt;width:101.75pt;height:16.100000000000001pt;z-index:-125829366;mso-wrap-distance-left:0;mso-wrap-distance-top:71.25pt;mso-wrap-distance-right:0;mso-wrap-distance-bottom:58.7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292100" distB="0" distL="0" distR="0" simplePos="0" relativeHeight="125829389" behindDoc="0" locked="0" layoutInCell="1" allowOverlap="1">
            <wp:simplePos x="0" y="0"/>
            <wp:positionH relativeFrom="page">
              <wp:posOffset>3853815</wp:posOffset>
            </wp:positionH>
            <wp:positionV relativeFrom="paragraph">
              <wp:posOffset>292100</wp:posOffset>
            </wp:positionV>
            <wp:extent cx="3206750" cy="156654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8"/>
                    <a:stretch/>
                  </pic:blipFill>
                  <pic:spPr>
                    <a:xfrm>
                      <a:ext cx="3206750" cy="1566545"/>
                    </a:xfrm>
                    <a:prstGeom prst="rect"/>
                  </pic:spPr>
                </pic:pic>
              </a:graphicData>
            </a:graphic>
          </wp:anchor>
        </w:drawing>
      </w:r>
    </w:p>
    <w:p>
      <w:pPr>
        <w:pStyle w:val="Style10"/>
        <w:keepNext w:val="0"/>
        <w:keepLines w:val="0"/>
        <w:widowControl w:val="0"/>
        <w:shd w:val="clear" w:color="auto" w:fill="auto"/>
        <w:bidi w:val="0"/>
        <w:spacing w:before="0" w:after="0" w:line="240" w:lineRule="auto"/>
        <w:ind w:left="0" w:right="0" w:firstLine="720"/>
        <w:jc w:val="both"/>
        <w:rPr>
          <w:sz w:val="24"/>
          <w:szCs w:val="24"/>
        </w:rPr>
      </w:pPr>
      <w:r>
        <w:rPr>
          <w:color w:val="000000"/>
          <w:spacing w:val="0"/>
          <w:w w:val="100"/>
          <w:position w:val="0"/>
          <w:sz w:val="24"/>
          <w:szCs w:val="24"/>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10"/>
        <w:keepNext w:val="0"/>
        <w:keepLines w:val="0"/>
        <w:widowControl w:val="0"/>
        <w:shd w:val="clear" w:color="auto" w:fill="auto"/>
        <w:bidi w:val="0"/>
        <w:spacing w:before="0" w:after="0" w:line="240" w:lineRule="auto"/>
        <w:ind w:left="0" w:right="0" w:firstLine="720"/>
        <w:jc w:val="both"/>
        <w:rPr>
          <w:sz w:val="24"/>
          <w:szCs w:val="24"/>
        </w:rPr>
      </w:pPr>
      <w:r>
        <w:rPr>
          <w:color w:val="000000"/>
          <w:spacing w:val="0"/>
          <w:w w:val="100"/>
          <w:position w:val="0"/>
          <w:sz w:val="24"/>
          <w:szCs w:val="24"/>
          <w:shd w:val="clear" w:color="auto" w:fill="auto"/>
          <w:lang w:val="ru-RU" w:eastAsia="ru-RU" w:bidi="ru-RU"/>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headerReference w:type="default" r:id="rId10"/>
      <w:footerReference w:type="default" r:id="rId11"/>
      <w:footnotePr>
        <w:pos w:val="pageBottom"/>
        <w:numFmt w:val="decimal"/>
        <w:numRestart w:val="continuous"/>
      </w:footnotePr>
      <w:pgSz w:w="11900" w:h="16840"/>
      <w:pgMar w:top="1776" w:right="431" w:bottom="1327" w:left="12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788670</wp:posOffset>
              </wp:positionH>
              <wp:positionV relativeFrom="page">
                <wp:posOffset>9903460</wp:posOffset>
              </wp:positionV>
              <wp:extent cx="655320" cy="109855"/>
              <wp:wrapNone/>
              <wp:docPr id="9" name="Shape 9"/>
              <a:graphic xmlns:a="http://schemas.openxmlformats.org/drawingml/2006/main">
                <a:graphicData uri="http://schemas.microsoft.com/office/word/2010/wordprocessingShape">
                  <wps:wsp>
                    <wps:cNvSpPr txBox="1"/>
                    <wps:spPr>
                      <a:xfrm>
                        <a:ext cx="655320"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2023-1410</w:t>
                          </w:r>
                        </w:p>
                      </w:txbxContent>
                    </wps:txbx>
                    <wps:bodyPr wrap="none" lIns="0" tIns="0" rIns="0" bIns="0">
                      <a:spAutoFit/>
                    </wps:bodyPr>
                  </wps:wsp>
                </a:graphicData>
              </a:graphic>
            </wp:anchor>
          </w:drawing>
        </mc:Choice>
        <mc:Fallback>
          <w:pict>
            <v:shape id="_x0000_s1035" type="#_x0000_t202" style="position:absolute;margin-left:62.100000000000001pt;margin-top:779.80000000000007pt;width:51.6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2023-1410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786130</wp:posOffset>
              </wp:positionH>
              <wp:positionV relativeFrom="page">
                <wp:posOffset>10043160</wp:posOffset>
              </wp:positionV>
              <wp:extent cx="658495" cy="109855"/>
              <wp:wrapNone/>
              <wp:docPr id="19" name="Shape 19"/>
              <a:graphic xmlns:a="http://schemas.openxmlformats.org/drawingml/2006/main">
                <a:graphicData uri="http://schemas.microsoft.com/office/word/2010/wordprocessingShape">
                  <wps:wsp>
                    <wps:cNvSpPr txBox="1"/>
                    <wps:spPr>
                      <a:xfrm>
                        <a:ext cx="658495"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2023-1410</w:t>
                          </w:r>
                        </w:p>
                      </w:txbxContent>
                    </wps:txbx>
                    <wps:bodyPr wrap="none" lIns="0" tIns="0" rIns="0" bIns="0">
                      <a:spAutoFit/>
                    </wps:bodyPr>
                  </wps:wsp>
                </a:graphicData>
              </a:graphic>
            </wp:anchor>
          </w:drawing>
        </mc:Choice>
        <mc:Fallback>
          <w:pict>
            <v:shape id="_x0000_s1045" type="#_x0000_t202" style="position:absolute;margin-left:61.899999999999999pt;margin-top:790.80000000000007pt;width:51.850000000000001pt;height:8.6500000000000004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2023-1410</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3989070</wp:posOffset>
              </wp:positionH>
              <wp:positionV relativeFrom="page">
                <wp:posOffset>782955</wp:posOffset>
              </wp:positionV>
              <wp:extent cx="79375" cy="118745"/>
              <wp:wrapNone/>
              <wp:docPr id="17" name="Shape 17"/>
              <a:graphic xmlns:a="http://schemas.openxmlformats.org/drawingml/2006/main">
                <a:graphicData uri="http://schemas.microsoft.com/office/word/2010/wordprocessingShape">
                  <wps:wsp>
                    <wps:cNvSpPr txBox="1"/>
                    <wps:spPr>
                      <a:xfrm>
                        <a:ext cx="79375" cy="11874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i/>
                                <w:iCs/>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14.10000000000002pt;margin-top:61.649999999999999pt;width:6.25pt;height:9.3499999999999996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i/>
                          <w:iCs/>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6"/>
      <w:szCs w:val="16"/>
      <w:u w:val="none"/>
    </w:rPr>
  </w:style>
  <w:style w:type="character" w:customStyle="1" w:styleId="CharStyle6">
    <w:name w:val="Основной текст (4)_"/>
    <w:basedOn w:val="DefaultParagraphFont"/>
    <w:link w:val="Style5"/>
    <w:rPr>
      <w:b/>
      <w:bCs/>
      <w:i w:val="0"/>
      <w:iCs w:val="0"/>
      <w:smallCaps w:val="0"/>
      <w:strike w:val="0"/>
      <w:sz w:val="22"/>
      <w:szCs w:val="22"/>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sz w:val="20"/>
      <w:szCs w:val="20"/>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36"/>
      <w:szCs w:val="36"/>
      <w:u w:val="none"/>
    </w:rPr>
  </w:style>
  <w:style w:type="paragraph" w:customStyle="1" w:styleId="Style2">
    <w:name w:val="Основной текст (2)"/>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5">
    <w:name w:val="Основной текст (4)"/>
    <w:basedOn w:val="Normal"/>
    <w:link w:val="CharStyle6"/>
    <w:pPr>
      <w:widowControl w:val="0"/>
      <w:shd w:val="clear" w:color="auto" w:fill="auto"/>
      <w:spacing w:line="226" w:lineRule="auto"/>
      <w:jc w:val="center"/>
    </w:pPr>
    <w:rPr>
      <w:b/>
      <w:bCs/>
      <w:i w:val="0"/>
      <w:iCs w:val="0"/>
      <w:smallCaps w:val="0"/>
      <w:strike w:val="0"/>
      <w:sz w:val="22"/>
      <w:szCs w:val="22"/>
      <w:u w:val="none"/>
    </w:rPr>
  </w:style>
  <w:style w:type="paragraph" w:customStyle="1" w:styleId="Style7">
    <w:name w:val="Основной текст (3)"/>
    <w:basedOn w:val="Normal"/>
    <w:link w:val="CharStyle8"/>
    <w:pPr>
      <w:widowControl w:val="0"/>
      <w:shd w:val="clear" w:color="auto" w:fill="auto"/>
      <w:spacing w:after="100"/>
    </w:pPr>
    <w:rPr>
      <w:rFonts w:ascii="Times New Roman" w:eastAsia="Times New Roman" w:hAnsi="Times New Roman" w:cs="Times New Roman"/>
      <w:b w:val="0"/>
      <w:bCs w:val="0"/>
      <w:i w:val="0"/>
      <w:iCs w:val="0"/>
      <w:smallCaps w:val="0"/>
      <w:strike w:val="0"/>
      <w:sz w:val="20"/>
      <w:szCs w:val="20"/>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1"/>
    <w:basedOn w:val="Normal"/>
    <w:link w:val="CharStyle16"/>
    <w:pPr>
      <w:widowControl w:val="0"/>
      <w:shd w:val="clear" w:color="auto" w:fill="auto"/>
      <w:spacing w:after="280"/>
      <w:outlineLvl w:val="0"/>
    </w:pPr>
    <w:rPr>
      <w:rFonts w:ascii="Arial" w:eastAsia="Arial" w:hAnsi="Arial" w:cs="Arial"/>
      <w:b w:val="0"/>
      <w:bCs w:val="0"/>
      <w:i w:val="0"/>
      <w:iCs w:val="0"/>
      <w:smallCaps w:val="0"/>
      <w:strike w:val="0"/>
      <w:sz w:val="36"/>
      <w:szCs w:val="3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header" Target="header1.xml"/><Relationship Id="rId11" Type="http://schemas.openxmlformats.org/officeDocument/2006/relationships/footer" Target="footer2.xml"/></Relationships>
</file>