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389890" cy="438785"/>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389890" cy="438785"/>
                    </a:xfrm>
                    <a:prstGeom prst="rect"/>
                  </pic:spPr>
                </pic:pic>
              </a:graphicData>
            </a:graphic>
          </wp:inline>
        </w:drawing>
      </w:r>
    </w:p>
    <w:p>
      <w:pPr>
        <w:widowControl w:val="0"/>
        <w:spacing w:after="179" w:line="1" w:lineRule="exact"/>
      </w:pPr>
    </w:p>
    <w:p>
      <w:pPr>
        <w:pStyle w:val="Style2"/>
        <w:keepNext w:val="0"/>
        <w:keepLines w:val="0"/>
        <w:widowControl w:val="0"/>
        <w:shd w:val="clear" w:color="auto" w:fill="auto"/>
        <w:bidi w:val="0"/>
        <w:spacing w:before="0" w:after="180" w:line="266"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6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Мясницкий проезд, д.4, стр. 1</w:t>
      </w:r>
    </w:p>
    <w:p>
      <w:pPr>
        <w:pStyle w:val="Style2"/>
        <w:keepNext w:val="0"/>
        <w:keepLines w:val="0"/>
        <w:widowControl w:val="0"/>
        <w:shd w:val="clear" w:color="auto" w:fill="auto"/>
        <w:bidi w:val="0"/>
        <w:spacing w:before="0" w:after="260" w:line="240" w:lineRule="auto"/>
        <w:ind w:left="0" w:right="0" w:firstLine="0"/>
        <w:jc w:val="center"/>
      </w:pPr>
      <w:r>
        <w:rPr>
          <w:spacing w:val="0"/>
          <w:w w:val="100"/>
          <w:position w:val="0"/>
          <w:shd w:val="clear" w:color="auto" w:fill="auto"/>
          <w:lang w:val="ru-RU" w:eastAsia="ru-RU" w:bidi="ru-RU"/>
        </w:rPr>
        <w:t>107078, г. Москва,</w:t>
        <w:br/>
        <w:t>тел. (495) 784-75-05, факс (495) 607-49-29</w:t>
        <w:br/>
        <w:t xml:space="preserve">факс (495) 607-42-92, </w:t>
      </w:r>
      <w:r>
        <w:rPr>
          <w:spacing w:val="0"/>
          <w:w w:val="100"/>
          <w:position w:val="0"/>
          <w:u w:val="single"/>
          <w:shd w:val="clear" w:color="auto" w:fill="auto"/>
          <w:lang w:val="ru-RU" w:eastAsia="ru-RU" w:bidi="ru-RU"/>
        </w:rPr>
        <w:t>е-шай: 1о77@Га8.§оу.ги</w:t>
      </w:r>
    </w:p>
    <w:p>
      <w:pPr>
        <w:pStyle w:val="Style2"/>
        <w:keepNext w:val="0"/>
        <w:keepLines w:val="0"/>
        <w:widowControl w:val="0"/>
        <w:shd w:val="clear" w:color="auto" w:fill="auto"/>
        <w:tabs>
          <w:tab w:leader="underscore" w:pos="1738" w:val="left"/>
          <w:tab w:leader="underscore" w:pos="3871" w:val="left"/>
        </w:tabs>
        <w:bidi w:val="0"/>
        <w:spacing w:before="0" w:after="260" w:line="240" w:lineRule="auto"/>
        <w:ind w:left="0" w:right="0" w:firstLine="0"/>
        <w:jc w:val="both"/>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ФГБНУ «РНЦХ ИМ. АКАД. Б.В. ПЕТРОВСКОГО»</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п.1еокй8Юуа@те^.ги1</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ООО «НЕВАРОСТМЕД»</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пеVа^о8^те4@дта^1.сот</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1466" w:right="2098" w:bottom="997" w:left="1623" w:header="1038" w:footer="569" w:gutter="0"/>
          <w:pgNumType w:start="1"/>
          <w:cols w:num="2" w:space="720" w:equalWidth="0">
            <w:col w:w="4008" w:space="638"/>
            <w:col w:w="3533"/>
          </w:cols>
          <w:noEndnote/>
          <w:rtlGutter w:val="0"/>
          <w:docGrid w:linePitch="360"/>
        </w:sectPr>
      </w:pPr>
      <w:r>
        <w:rPr>
          <w:color w:val="000000"/>
          <w:spacing w:val="0"/>
          <w:w w:val="100"/>
          <w:position w:val="0"/>
          <w:shd w:val="clear" w:color="auto" w:fill="auto"/>
          <w:lang w:val="ru-RU" w:eastAsia="ru-RU" w:bidi="ru-RU"/>
        </w:rPr>
        <w:t>ко@го8еКогд.ги</w:t>
      </w: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38" w:right="0" w:bottom="986"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30"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077/06/106-ЕМ8/2023 о нарушении</w:t>
        <w:br/>
        <w:t>законодательства о контрактной системе</w:t>
        <w:br/>
        <w:t>04.05.2023</w:t>
        <w:tab/>
        <w:t>г. Москва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Председательствующего: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2019-пСоV.,</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ФГБНУ «РНЦХ ИМ. АКАД. Б.В. ПЕТРОВСКОГО»: О.В. Искаковой (доверенность от 04.05.2023 №01-исх/1565), Н.А. Феоктистовой (доверенность от 30.12.2022 №01-исх/4156),</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отсутствие представителей ООО «НЕВАРОСТМЕД»,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 xml:space="preserve">рассмотрев жалобу ООО «НЕВАРОСТМЕД» (далее — Заявитель) на </w:t>
      </w:r>
      <w:r>
        <w:rPr>
          <w:color w:val="000000"/>
          <w:spacing w:val="0"/>
          <w:w w:val="100"/>
          <w:position w:val="0"/>
          <w:shd w:val="clear" w:color="auto" w:fill="auto"/>
          <w:lang w:val="ru-RU" w:eastAsia="ru-RU" w:bidi="ru-RU"/>
        </w:rPr>
        <w:t>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медицинского оборудования лот №21 для нужд ФГБНУ «РНЦХ им. акад. Б.В. Петровского» (Закупка № 0373100072123000548)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заседание Комиссии Управления Заказчиком представлены документы и сведения, запрашиваемые письмом Московского УФАС России.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Согласно доводам жалобы Заказчиком неправомерно объединена в один лот поставка медицинских изделий различных видов в соответствии с номенклатурной классификацией медицинских изделий, что противоречит требованиям постановления Правительства Российской Федерации от 19 апреля 2021 г. № 620 «О требовании к формированию лотов при осуществлении закупок медицинских изделий, являющихся объектом закупки для обеспечения государственных и муниципальных нужд» (далее - постановление №620).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П.2 ч.29 ст.34 Закона о контрактной системе установлено, что Правительство Российской Федерации вправе определить требования к формированию лотов при осуществлении закупок отдельных видов товаров, работ, услуг.</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П.1 постановления №620 установлено, что при осуществлении закупок медицинских изделий не могут быть предметом одного контракта (одного лота) медицинские изделия различных видов в соответствии с номенклатурной классификацией медицинских изделий по видам, утвержденной Министерством </w:t>
      </w:r>
      <w:r>
        <w:rPr>
          <w:color w:val="000000"/>
          <w:spacing w:val="0"/>
          <w:w w:val="100"/>
          <w:position w:val="0"/>
          <w:shd w:val="clear" w:color="auto" w:fill="auto"/>
          <w:lang w:val="ru-RU" w:eastAsia="ru-RU" w:bidi="ru-RU"/>
        </w:rPr>
        <w:t>здравоохранения Российской Федерации, при условии, что значение начальной (максимальной) цены контракта (цены лота) превышает:</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600 тыс. рублей - для заказчиков, у которых объем денежных средств, направленных на закупку медицинских изделий в предшествующем году, соста</w:t>
        <w:softHyphen/>
        <w:t>вил менее 50 млн. рублей;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млн. рублей - для заказчиков, у которых объем денежных средств, направленных на закупку медицинских изделий в предшествующем году, соста</w:t>
        <w:softHyphen/>
        <w:t>вил от 50 млн. рублей до 100 млн. рублей;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1,5 млн. рублей - для заказчиков, у которых объем денежных средств, направленных на закупку медицинских изделий в предшествующем году, соста</w:t>
        <w:softHyphen/>
        <w:t>вил более 100 млн. рублей.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начальная (максимальная) цена контракта составляет 40 641 500,00 руб.</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приложению № 1 к приказу Министерства здравоохранения Российской Федерации от 6 июня 2012 года № 4н «Об утверждении номенклатурной классификации медицинских изделий» (далее - Номенклатурная классификация) номенклатурная классификация медицинских изделий по видам (далее - классификация) содержит числовое обозначение вида медицинского изделия - идентификационный уникальный номер записи*, наименование вида медицинского изделия, описание вида медицинского изделия, содержащее соответствующие классификационные признаки вида медицинского изделия, указываемые в зависимости от назначения медицинского изделия.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Фиксируется начальное значение 100000 и для каждой последующей записи значение увеличивается на 10.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Алгоритм формирования, применяемый для ведения номенклатурной классификации медицинских изделий по видам, представлен на схеме:</w:t>
      </w:r>
    </w:p>
    <w:p>
      <w:pPr>
        <w:widowControl w:val="0"/>
        <w:jc w:val="center"/>
        <w:rPr>
          <w:sz w:val="2"/>
          <w:szCs w:val="2"/>
        </w:rPr>
      </w:pPr>
      <w:r>
        <w:drawing>
          <wp:inline>
            <wp:extent cx="5449570" cy="164592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5449570" cy="1645920"/>
                    </a:xfrm>
                    <a:prstGeom prst="rect"/>
                  </pic:spPr>
                </pic:pic>
              </a:graphicData>
            </a:graphic>
          </wp:inline>
        </w:drawing>
      </w:r>
    </w:p>
    <w:p>
      <w:pPr>
        <w:widowControl w:val="0"/>
        <w:spacing w:after="219" w:line="1" w:lineRule="exact"/>
      </w:pP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Комиссией Управления установлено, что согласно извещению о Закупке и приложению к указанному извещению Заказчиком закупается «Доукомплектация эндоскопического оборудования». Код позиции КТРУ не определен / ОКПД2: </w:t>
      </w:r>
      <w:r>
        <w:rPr>
          <w:b/>
          <w:bCs/>
          <w:color w:val="000000"/>
          <w:spacing w:val="0"/>
          <w:w w:val="100"/>
          <w:position w:val="0"/>
          <w:shd w:val="clear" w:color="auto" w:fill="auto"/>
          <w:lang w:val="ru-RU" w:eastAsia="ru-RU" w:bidi="ru-RU"/>
        </w:rPr>
        <w:t xml:space="preserve">26.60.12.129 </w:t>
      </w:r>
      <w:r>
        <w:rPr>
          <w:color w:val="000000"/>
          <w:spacing w:val="0"/>
          <w:w w:val="100"/>
          <w:position w:val="0"/>
          <w:shd w:val="clear" w:color="auto" w:fill="auto"/>
          <w:lang w:val="ru-RU" w:eastAsia="ru-RU" w:bidi="ru-RU"/>
        </w:rPr>
        <w:t>«Приборы и аппараты для функциональной диагностики прочие, применяемые в медицинских целях, не включенные в другие группировки».</w:t>
      </w:r>
    </w:p>
    <w:p>
      <w:pPr>
        <w:pStyle w:val="Style6"/>
        <w:keepNext w:val="0"/>
        <w:keepLines w:val="0"/>
        <w:widowControl w:val="0"/>
        <w:shd w:val="clear" w:color="auto" w:fill="auto"/>
        <w:bidi w:val="0"/>
        <w:spacing w:before="0" w:after="120" w:line="240" w:lineRule="auto"/>
        <w:ind w:left="0" w:right="0" w:firstLine="700"/>
        <w:jc w:val="both"/>
      </w:pPr>
      <w:r>
        <w:rPr>
          <w:color w:val="000000"/>
          <w:spacing w:val="0"/>
          <w:w w:val="100"/>
          <w:position w:val="0"/>
          <w:shd w:val="clear" w:color="auto" w:fill="auto"/>
          <w:lang w:val="ru-RU" w:eastAsia="ru-RU" w:bidi="ru-RU"/>
        </w:rPr>
        <w:t>Согласно доводам жалобы объектом закупки является несколько наименований единиц оборудования, каждое из которых имеет свой код вида медицинского изделия: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Процессор видеоизображений для эндоскопии - 271720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Видеогастроскоп гибкий - 179420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Видеогастроскоп ультразвуковой тонкий конвексный - 179420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Видеоколоноскоп гибкий - 179940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Видеоколоноскоп гибкий тонкий - 179940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Видеобронхоскоп гибкий, многоразового использования - 179300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неправомерно объединил в один лот закупаемые товары, являющиеся самостоятельными медицинскими изделиями и имеющие различные коды в соответствии с номенклатурной классификацией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согласно п. 2 постановления № 620 установлено, что указанное в пункте 1 постановления требование не распространяется на закупки медицинских изделий, объединенных в один лот (контракт) по контрактам жизненного цикла, заключаемым в случаях, установленных Правительством Российской Федерации, а также на закупки медицинских изделий, объединенных в один лот (контракт) с расходными материалами, которые предусмотрены производителем (изготовителем) для использования данных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объектом закупочной процедуры является поставка комплектующих для системы эндоскопической визуализации, при этом комплектующие такой системы должны быть совместимы с оборудованием, находящимся на балансе у Заказчика одной фирмы производителя «ХОЯ Корпорейшн», Япония в соответствии с письмом «ПЕНТАКС Европа ГмбХ», являющимся эксклюзивным дистрибьютором эндоскопического оборудования РЕНТАХ/ РЕНТАХ Мес11са1 на территории России, ввиду чего Заказчик не осуществляет закупку медицинских изделий разных видов и не нарушает положения постановления № 620.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 благодаря уникальной конструкции коннекторов, а также совместимости внутренних электронных микросхем видеоэндоскопы, а также видеопроцессоры РЕНТАХ/ РЕНТАХ МеШса1 производства ХОЯ Корпорейшн, Япония, совместимы только с видеопроцессорами/ видео-эндоскопами той же марки РЕНТАХ/РЕНТАХ МесТсаЕ того же производителя ХОЯ Корпорейшн, Япония, и не совместимы с процессорами/видеоэндоскопами других производителей.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Управления отмечает, что исходя из потребности Заказчика объектом закупки являются комплектующие для совместного использования с видеопроцессором, при этом из представленных сведений не следует, что Заказчику необходимы к поставке вышеуказанные составляющие в виде отдельных, самостоятельных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Таким образом, на основании имеющихся документов и сведений, а </w:t>
      </w:r>
      <w:r>
        <w:rPr>
          <w:color w:val="000000"/>
          <w:spacing w:val="0"/>
          <w:w w:val="100"/>
          <w:position w:val="0"/>
          <w:shd w:val="clear" w:color="auto" w:fill="auto"/>
          <w:lang w:val="ru-RU" w:eastAsia="ru-RU" w:bidi="ru-RU"/>
        </w:rPr>
        <w:t>также с учетом пояснений представителей Заказчика, Комиссия Управления приходит к выводу, что довод жалобы Заявителя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В составе жалобы Заявитель указывает, что Заказчиком неправомерно не применены положения постановления Правительства Российской Федерации от 08.02.2017 № 145, которыми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 в части описания объекта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обоснование своей позиции Заявитель указывает, что согласно техническому заданию Заказчиком требуемые к поставке медицинские изделия предусмотрены следующими кодами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Процессор видеоизображений для эндоскопии - 26.60.12.119-00000376</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Видеогастроскоп гибкий - 32.50.13.190-00008290</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Видеогастроскоп ультразвуковой тонкий конвексный - 32.50.13.190</w:t>
        <w:softHyphen/>
        <w:t>00008290 (с характеристикой поддержка ультра звукового исследования)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Видеоколоноскоп гибкий - 26.60.12.119-00000847</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Видеоколоноскоп гибкий тонкий - 26.60.12.119-00000847</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Видеобронхоскоп гибкий, многоразового использования - 26.60.12.119</w:t>
        <w:softHyphen/>
        <w:t>00000772.</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по мнению Заявителя, описание объекта закупки полностью соответствует описанию медицинского изделия, имеющегося в КТРУ с вышеперечисленными кодами, тогда как Заказчиком в извещении об осуществлении закупки не указаны позиции КТРУ и не применяется информация, включенная в позиции каталога, что нарушает часть 6 статьи 23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w:t>
      </w:r>
      <w:r>
        <w:rPr>
          <w:color w:val="000000"/>
          <w:spacing w:val="0"/>
          <w:w w:val="100"/>
          <w:position w:val="0"/>
          <w:shd w:val="clear" w:color="auto" w:fill="auto"/>
          <w:lang w:val="ru-RU" w:eastAsia="ru-RU" w:bidi="ru-RU"/>
        </w:rPr>
        <w:t>Российской Федерации.</w:t>
      </w:r>
    </w:p>
    <w:p>
      <w:pPr>
        <w:pStyle w:val="Style6"/>
        <w:keepNext w:val="0"/>
        <w:keepLines w:val="0"/>
        <w:widowControl w:val="0"/>
        <w:shd w:val="clear" w:color="auto" w:fill="auto"/>
        <w:tabs>
          <w:tab w:pos="61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08.02.2017 №</w:t>
        <w:tab/>
        <w:t>145 утверждены Правила формирования и ведения в единой</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пп. «б» п.2 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п.4 Правил использования КТРУ заказчики обязаны применять информацию, включенную в позицию каталога в соответствии с пп. «б» - «г» и «е» - «з» п.10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1"/>
        </w:numPr>
        <w:shd w:val="clear" w:color="auto" w:fill="auto"/>
        <w:tabs>
          <w:tab w:pos="14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товара, работы, услуги;</w:t>
      </w:r>
    </w:p>
    <w:p>
      <w:pPr>
        <w:pStyle w:val="Style6"/>
        <w:keepNext w:val="0"/>
        <w:keepLines w:val="0"/>
        <w:widowControl w:val="0"/>
        <w:numPr>
          <w:ilvl w:val="0"/>
          <w:numId w:val="1"/>
        </w:numPr>
        <w:shd w:val="clear" w:color="auto" w:fill="auto"/>
        <w:tabs>
          <w:tab w:pos="14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1"/>
        </w:numPr>
        <w:shd w:val="clear" w:color="auto" w:fill="auto"/>
        <w:tabs>
          <w:tab w:pos="1430"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установлено, что Заказчиком в извещении о проведении электронного аукциона от 20.04.2023 №0373100072123000548 установлен код ОКПД2 26.60.12.129, которому соответствуют «Приборы и аппараты для функциональной диагностики прочие, применяемые в медицинских целях, не включенные в другие группировки».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представители Заказчика пояснили, что согласно извещению о проведении электронного аукциона, объектом закупочной процедуры является поставка комплектующих для системы эндоскопической визуализации, при этом в соответствии с п.7 Правил использования КТРУ, в случае осуществления закупки товара, в отношении которого в каталоге отсутствуют соответствующие позиции, заказчик имеет право описать товар в соответствии с требованиями ст.33 Закона о контрактной системе, ввиду чего Заказчиком выбран код ОКПД2 26.60.12.129 «Приборы и аппараты для функциональной диагностики прочие, применяемые в медицинских целях, не включенные в другие группировки» и установлены показатели, требования в соответствии с законодательством Российской</w:t>
        <w:br w:type="page"/>
      </w:r>
      <w:r>
        <w:rPr>
          <w:color w:val="000000"/>
          <w:spacing w:val="0"/>
          <w:w w:val="100"/>
          <w:position w:val="0"/>
          <w:shd w:val="clear" w:color="auto" w:fill="auto"/>
          <w:lang w:val="ru-RU" w:eastAsia="ru-RU" w:bidi="ru-RU"/>
        </w:rPr>
        <w:t>Федерации о техническом регулировании и стандартизации, а именно ГОСТ Р 56278-2014 и ГОСТ Р 55719-2013.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Комиссия Управления отмечает, что на заседании представителями Заказчика не представлено пояснений, которые однозначно указывали бы на то, что по своим обязательным для применения характеристикам имеющиеся позиции КТРУ не могут быть использованы для применения.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выводы Заказчика о невозможности описания объекта закупки с учетом Правил использования КТРУ не свидетельствуют о возможности описания объекта закупки в соответствии с положениями ст. 33 Закона о контрактной системе при наличии в каталоге позиции закупаемого товара, соответствующего общим целям и назначению такого товара.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что Заказчиком при описании объекта закупки неправомерно не применены позиции КТРУ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Иного на заседании Комиссии Управления Заказчиком не доказано.</w:t>
      </w:r>
    </w:p>
    <w:p>
      <w:pPr>
        <w:pStyle w:val="Style6"/>
        <w:keepNext w:val="0"/>
        <w:keepLines w:val="0"/>
        <w:widowControl w:val="0"/>
        <w:shd w:val="clear" w:color="auto" w:fill="auto"/>
        <w:tabs>
          <w:tab w:pos="3485"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Заказчиком п.1 ч.1 ст.33, ч.6 ст.23 Закона о контрактной системе, что содержит признаки состава административного правонарушения, предусмотренного ч.1.4</w:t>
        <w:tab/>
        <w:t>ст.7.30 Кодекса Российской Федерации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shd w:val="clear" w:color="auto" w:fill="auto"/>
        <w:bidi w:val="0"/>
        <w:spacing w:before="0" w:after="32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3"/>
        </w:numPr>
        <w:shd w:val="clear" w:color="auto" w:fill="auto"/>
        <w:tabs>
          <w:tab w:pos="876"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.Признать жалобу ООО «НЕВАРОСТМЕД» на действия ФГБНУ «РНЦХ ИМ. АКАД. Б.В. ПЕТРОВСКОГО» обоснованной в части неправомерного неприменения положений постановления № 145.</w:t>
      </w:r>
    </w:p>
    <w:p>
      <w:pPr>
        <w:pStyle w:val="Style6"/>
        <w:keepNext w:val="0"/>
        <w:keepLines w:val="0"/>
        <w:widowControl w:val="0"/>
        <w:numPr>
          <w:ilvl w:val="0"/>
          <w:numId w:val="3"/>
        </w:numPr>
        <w:shd w:val="clear" w:color="auto" w:fill="auto"/>
        <w:tabs>
          <w:tab w:pos="900" w:val="left"/>
        </w:tabs>
        <w:bidi w:val="0"/>
        <w:spacing w:before="0" w:after="0" w:line="240" w:lineRule="auto"/>
        <w:ind w:left="0" w:right="0" w:firstLine="620"/>
        <w:jc w:val="both"/>
      </w:pPr>
      <w:r>
        <w:rPr>
          <w:color w:val="000000"/>
          <w:spacing w:val="0"/>
          <w:w w:val="100"/>
          <w:position w:val="0"/>
          <w:shd w:val="clear" w:color="auto" w:fill="auto"/>
          <w:lang w:val="ru-RU" w:eastAsia="ru-RU" w:bidi="ru-RU"/>
        </w:rPr>
        <w:t>.Признать в действиях Заказчика нарушения п.1 ч.1 ст.33, ч.6 ст.23 Закона о контрактной системе.</w:t>
      </w:r>
    </w:p>
    <w:p>
      <w:pPr>
        <w:pStyle w:val="Style6"/>
        <w:keepNext w:val="0"/>
        <w:keepLines w:val="0"/>
        <w:widowControl w:val="0"/>
        <w:numPr>
          <w:ilvl w:val="0"/>
          <w:numId w:val="3"/>
        </w:numPr>
        <w:shd w:val="clear" w:color="auto" w:fill="auto"/>
        <w:tabs>
          <w:tab w:pos="991" w:val="left"/>
        </w:tabs>
        <w:bidi w:val="0"/>
        <w:spacing w:before="0" w:after="0" w:line="240" w:lineRule="auto"/>
        <w:ind w:left="0" w:right="0" w:firstLine="620"/>
        <w:jc w:val="both"/>
      </w:pPr>
      <w:r>
        <w:rPr>
          <w:color w:val="000000"/>
          <w:spacing w:val="0"/>
          <w:w w:val="100"/>
          <w:position w:val="0"/>
          <w:shd w:val="clear" w:color="auto" w:fill="auto"/>
          <w:lang w:val="ru-RU" w:eastAsia="ru-RU" w:bidi="ru-RU"/>
        </w:rPr>
        <w:t>. 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
        </w:numPr>
        <w:shd w:val="clear" w:color="auto" w:fill="auto"/>
        <w:tabs>
          <w:tab w:pos="1001" w:val="left"/>
        </w:tabs>
        <w:bidi w:val="0"/>
        <w:spacing w:before="0" w:after="320" w:line="240" w:lineRule="auto"/>
        <w:ind w:left="0" w:right="0" w:firstLine="620"/>
        <w:jc w:val="both"/>
      </w:pPr>
      <w:r>
        <w:rPr>
          <w:color w:val="000000"/>
          <w:spacing w:val="0"/>
          <w:w w:val="100"/>
          <w:position w:val="0"/>
          <w:shd w:val="clear" w:color="auto" w:fill="auto"/>
          <w:lang w:val="ru-RU" w:eastAsia="ru-RU" w:bidi="ru-RU"/>
        </w:rPr>
        <w:t>.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00" w:line="240" w:lineRule="auto"/>
        <w:ind w:left="0" w:right="0" w:firstLine="76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6"/>
        <w:keepNext w:val="0"/>
        <w:keepLines w:val="0"/>
        <w:widowControl w:val="0"/>
        <w:shd w:val="clear" w:color="auto" w:fill="auto"/>
        <w:tabs>
          <w:tab w:pos="8011" w:val="left"/>
        </w:tabs>
        <w:bidi w:val="0"/>
        <w:spacing w:before="0" w:after="260" w:line="240" w:lineRule="auto"/>
        <w:ind w:left="0" w:right="0" w:firstLine="0"/>
        <w:jc w:val="both"/>
      </w:pPr>
      <w:r>
        <w:rPr>
          <w:color w:val="000000"/>
          <w:spacing w:val="0"/>
          <w:w w:val="100"/>
          <w:position w:val="0"/>
          <w:shd w:val="clear" w:color="auto" w:fill="auto"/>
          <w:lang w:val="ru-RU" w:eastAsia="ru-RU" w:bidi="ru-RU"/>
        </w:rPr>
        <w:t>Председательствующий</w:t>
        <w:tab/>
        <w:t>С.И. Казарин</w:t>
      </w:r>
    </w:p>
    <w:p>
      <w:pPr>
        <w:pStyle w:val="Style6"/>
        <w:keepNext w:val="0"/>
        <w:keepLines w:val="0"/>
        <w:widowControl w:val="0"/>
        <w:shd w:val="clear" w:color="auto" w:fill="auto"/>
        <w:tabs>
          <w:tab w:pos="8227" w:val="left"/>
        </w:tabs>
        <w:bidi w:val="0"/>
        <w:spacing w:before="0" w:after="120" w:line="240" w:lineRule="auto"/>
        <w:ind w:left="0" w:right="0" w:firstLine="0"/>
        <w:jc w:val="both"/>
      </w:pPr>
      <w:r>
        <mc:AlternateContent>
          <mc:Choice Requires="wps">
            <w:drawing>
              <wp:anchor distT="88900" distB="0" distL="114300" distR="114300" simplePos="0" relativeHeight="125829378" behindDoc="0" locked="0" layoutInCell="1" allowOverlap="1">
                <wp:simplePos x="0" y="0"/>
                <wp:positionH relativeFrom="page">
                  <wp:posOffset>5531485</wp:posOffset>
                </wp:positionH>
                <wp:positionV relativeFrom="paragraph">
                  <wp:posOffset>381000</wp:posOffset>
                </wp:positionV>
                <wp:extent cx="1316990" cy="216535"/>
                <wp:wrapTopAndBottom/>
                <wp:docPr id="3" name="Shape 3"/>
                <a:graphic xmlns:a="http://schemas.openxmlformats.org/drawingml/2006/main">
                  <a:graphicData uri="http://schemas.microsoft.com/office/word/2010/wordprocessingShape">
                    <wps:wsp>
                      <wps:cNvSpPr txBox="1"/>
                      <wps:spPr>
                        <a:xfrm>
                          <a:ext cx="1316990" cy="2165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Е.Д. Мартьянова</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435.55000000000001pt;margin-top:30.pt;width:103.7pt;height:17.050000000000001pt;z-index:-125829375;mso-wrap-distance-left:9.pt;mso-wrap-distance-top:7.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Е.Д. Мартьянова</w:t>
                      </w:r>
                    </w:p>
                  </w:txbxContent>
                </v:textbox>
                <w10:wrap type="topAndBottom" anchorx="page"/>
              </v:shape>
            </w:pict>
          </mc:Fallback>
        </mc:AlternateContent>
      </w:r>
      <w:r>
        <w:rPr>
          <w:color w:val="000000"/>
          <w:spacing w:val="0"/>
          <w:w w:val="100"/>
          <w:position w:val="0"/>
          <w:shd w:val="clear" w:color="auto" w:fill="auto"/>
          <w:lang w:val="ru-RU" w:eastAsia="ru-RU" w:bidi="ru-RU"/>
        </w:rPr>
        <w:t>Члены Комиссии</w:t>
        <w:tab/>
        <w:t>Н.А. Узкий</w:t>
      </w:r>
    </w:p>
    <w:p>
      <w:pPr>
        <w:pStyle w:val="Style9"/>
        <w:keepNext w:val="0"/>
        <w:keepLines w:val="0"/>
        <w:widowControl w:val="0"/>
        <w:shd w:val="clear" w:color="auto" w:fill="auto"/>
        <w:bidi w:val="0"/>
        <w:spacing w:before="0" w:line="240" w:lineRule="auto"/>
        <w:ind w:left="0" w:right="0" w:firstLine="0"/>
        <w:jc w:val="both"/>
      </w:pPr>
      <w:r>
        <w:rPr>
          <w:color w:val="000000"/>
          <w:spacing w:val="0"/>
          <w:w w:val="100"/>
          <w:position w:val="0"/>
          <w:sz w:val="24"/>
          <w:szCs w:val="24"/>
          <w:shd w:val="clear" w:color="auto" w:fill="auto"/>
          <w:lang w:val="ru-RU" w:eastAsia="ru-RU" w:bidi="ru-RU"/>
        </w:rPr>
        <w:t>Исп.Мартьянова Е.Д.тел.(495) 784-75-05</w:t>
      </w:r>
    </w:p>
    <w:sectPr>
      <w:footnotePr>
        <w:pos w:val="pageBottom"/>
        <w:numFmt w:val="decimal"/>
        <w:numRestart w:val="continuous"/>
      </w:footnotePr>
      <w:type w:val="continuous"/>
      <w:pgSz w:w="11900" w:h="16840"/>
      <w:pgMar w:top="1138" w:right="1094" w:bottom="986" w:left="1100" w:header="710" w:footer="558"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3D60B0"/>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Основной текст (3)_"/>
    <w:basedOn w:val="DefaultParagraphFont"/>
    <w:link w:val="Style9"/>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220"/>
      <w:jc w:val="center"/>
    </w:pPr>
    <w:rPr>
      <w:rFonts w:ascii="Times New Roman" w:eastAsia="Times New Roman" w:hAnsi="Times New Roman" w:cs="Times New Roman"/>
      <w:b w:val="0"/>
      <w:bCs w:val="0"/>
      <w:i w:val="0"/>
      <w:iCs w:val="0"/>
      <w:smallCaps w:val="0"/>
      <w:strike w:val="0"/>
      <w:color w:val="3D60B0"/>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Основной текст (3)"/>
    <w:basedOn w:val="Normal"/>
    <w:link w:val="CharStyle10"/>
    <w:pPr>
      <w:widowControl w:val="0"/>
      <w:shd w:val="clear" w:color="auto" w:fill="auto"/>
      <w:spacing w:after="22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s>
</file>