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1782445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721995</wp:posOffset>
                </wp:positionH>
                <wp:positionV relativeFrom="paragraph">
                  <wp:posOffset>622300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50000000000001pt;margin-top:49.pt;width:203.05000000000001pt;height:170.15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200" w:line="240" w:lineRule="auto"/>
        <w:ind w:left="1040" w:right="0" w:firstLine="0"/>
        <w:jc w:val="left"/>
        <w:rPr>
          <w:sz w:val="18"/>
          <w:szCs w:val="18"/>
        </w:rPr>
      </w:pPr>
      <w:r>
        <w:rPr>
          <w:color w:val="000000"/>
          <w:spacing w:val="0"/>
          <w:w w:val="100"/>
          <w:position w:val="0"/>
          <w:sz w:val="28"/>
          <w:szCs w:val="28"/>
          <w:shd w:val="clear" w:color="auto" w:fill="auto"/>
          <w:lang w:val="ru-RU" w:eastAsia="ru-RU" w:bidi="ru-RU"/>
        </w:rPr>
        <w:t>ООО «КРИТЕРИИ КОНСАЛТ</w:t>
      </w:r>
      <w:r>
        <w:rPr>
          <w:rFonts w:ascii="Arial" w:eastAsia="Arial" w:hAnsi="Arial" w:cs="Arial"/>
          <w:color w:val="383838"/>
          <w:spacing w:val="0"/>
          <w:w w:val="100"/>
          <w:position w:val="0"/>
          <w:sz w:val="18"/>
          <w:szCs w:val="18"/>
          <w:shd w:val="clear" w:color="auto" w:fill="auto"/>
          <w:lang w:val="ru-RU" w:eastAsia="ru-RU" w:bidi="ru-RU"/>
        </w:rPr>
        <w:t>»</w:t>
      </w:r>
    </w:p>
    <w:p>
      <w:pPr>
        <w:pStyle w:val="Style6"/>
        <w:keepNext w:val="0"/>
        <w:keepLines w:val="0"/>
        <w:widowControl w:val="0"/>
        <w:shd w:val="clear" w:color="auto" w:fill="auto"/>
        <w:bidi w:val="0"/>
        <w:spacing w:before="0" w:after="200" w:line="240" w:lineRule="auto"/>
        <w:ind w:left="1040" w:right="0" w:firstLine="0"/>
        <w:jc w:val="left"/>
      </w:pPr>
      <w:r>
        <w:rPr>
          <w:color w:val="000000"/>
          <w:spacing w:val="0"/>
          <w:w w:val="100"/>
          <w:position w:val="0"/>
          <w:shd w:val="clear" w:color="auto" w:fill="auto"/>
          <w:lang w:val="ru-RU" w:eastAsia="ru-RU" w:bidi="ru-RU"/>
        </w:rPr>
        <w:t>^Vа1ед^8@дта^1.сот</w:t>
      </w:r>
    </w:p>
    <w:p>
      <w:pPr>
        <w:pStyle w:val="Style6"/>
        <w:keepNext w:val="0"/>
        <w:keepLines w:val="0"/>
        <w:widowControl w:val="0"/>
        <w:shd w:val="clear" w:color="auto" w:fill="auto"/>
        <w:bidi w:val="0"/>
        <w:spacing w:before="0" w:after="200" w:line="240" w:lineRule="auto"/>
        <w:ind w:left="1040" w:right="0" w:firstLine="0"/>
        <w:jc w:val="left"/>
      </w:pPr>
      <w:r>
        <w:rPr>
          <w:color w:val="000000"/>
          <w:spacing w:val="0"/>
          <w:w w:val="100"/>
          <w:position w:val="0"/>
          <w:shd w:val="clear" w:color="auto" w:fill="auto"/>
          <w:lang w:val="ru-RU" w:eastAsia="ru-RU" w:bidi="ru-RU"/>
        </w:rPr>
        <w:t>МОСУ МВД России имени В.Я. Кикотя</w:t>
      </w:r>
    </w:p>
    <w:p>
      <w:pPr>
        <w:pStyle w:val="Style6"/>
        <w:keepNext w:val="0"/>
        <w:keepLines w:val="0"/>
        <w:widowControl w:val="0"/>
        <w:shd w:val="clear" w:color="auto" w:fill="auto"/>
        <w:bidi w:val="0"/>
        <w:spacing w:before="0" w:after="2940" w:line="240" w:lineRule="auto"/>
        <w:ind w:left="1040" w:right="0" w:firstLine="0"/>
        <w:jc w:val="left"/>
      </w:pPr>
      <w:r>
        <w:rPr>
          <w:color w:val="000000"/>
          <w:spacing w:val="0"/>
          <w:w w:val="100"/>
          <w:position w:val="0"/>
          <w:shd w:val="clear" w:color="auto" w:fill="auto"/>
          <w:lang w:val="ru-RU" w:eastAsia="ru-RU" w:bidi="ru-RU"/>
        </w:rPr>
        <w:t>утуд-1;епдег@тай.ги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52" w:val="left"/>
        </w:tabs>
        <w:bidi w:val="0"/>
        <w:spacing w:before="0" w:after="0" w:line="240" w:lineRule="auto"/>
        <w:ind w:left="0" w:right="0" w:firstLine="2240"/>
        <w:jc w:val="left"/>
      </w:pPr>
      <w:r>
        <w:rPr>
          <w:b/>
          <w:bCs/>
          <w:color w:val="000000"/>
          <w:spacing w:val="0"/>
          <w:w w:val="100"/>
          <w:position w:val="0"/>
          <w:shd w:val="clear" w:color="auto" w:fill="auto"/>
          <w:lang w:val="ru-RU" w:eastAsia="ru-RU" w:bidi="ru-RU"/>
        </w:rPr>
        <w:t>по делу № 077/06/106-АК18/2023 о нарушении законодательства о контрактной системе 04.05.2023</w:t>
        <w:tab/>
        <w:t>г. Москва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 1 разряда отдела обжалования государственных закупок И.И. Фурсикова,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«КРИТЕРИИ КОНСАЛТ</w:t>
      </w:r>
      <w:r>
        <w:rPr>
          <w:color w:val="383838"/>
          <w:spacing w:val="0"/>
          <w:w w:val="100"/>
          <w:position w:val="0"/>
          <w:shd w:val="clear" w:color="auto" w:fill="auto"/>
          <w:lang w:val="ru-RU" w:eastAsia="ru-RU" w:bidi="ru-RU"/>
        </w:rPr>
        <w:t>»: Яковлевой С.С. (по доверенности от 03.05.2023 №5),</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МОСУ МВД России имени В.Я. Кикотя: Мощеевой С.А. (по доверенности от 30.01.2023 №33/2023), Губиной Д.В. (по доверенности от 30.01.2023 №32/2023), Андроновой М.С. (по доверенности от 07.03.2023 №76/2023),</w:t>
      </w:r>
    </w:p>
    <w:p>
      <w:pPr>
        <w:pStyle w:val="Style6"/>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ООО «КРИТЕРИИ КОНСАЛТ</w:t>
      </w:r>
      <w:r>
        <w:rPr>
          <w:color w:val="383838"/>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(далее — Заявитель) на действия МОСУ МВД России имени В.Я. Кикотя (далее — Заказчик) при проведении электронного аукциона на право заключения государственного контракта на оказание услуг по вывозу древесных отходов (в том числе стволы </w:t>
      </w:r>
      <w:r>
        <w:rPr>
          <w:color w:val="000000"/>
          <w:spacing w:val="0"/>
          <w:w w:val="100"/>
          <w:position w:val="0"/>
          <w:shd w:val="clear" w:color="auto" w:fill="auto"/>
          <w:lang w:val="ru-RU" w:eastAsia="ru-RU" w:bidi="ru-RU"/>
        </w:rPr>
        <w:t>деревьев, пни, ветки, корни и т.д.) с объекта Московского университета МВД России имени В.Я. Кикотя по адресу: г. Москва, пос. Филимонковское, кв-л 15, двлд. 1 (Закупка № 0373100002223000023)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аукцион.</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w:t>
      </w:r>
      <w:r>
        <w:rPr>
          <w:color w:val="000000"/>
          <w:spacing w:val="0"/>
          <w:w w:val="100"/>
          <w:position w:val="0"/>
          <w:shd w:val="clear" w:color="auto" w:fill="auto"/>
          <w:lang w:val="ru-RU" w:eastAsia="ru-RU" w:bidi="ru-RU"/>
        </w:rPr>
        <w:t>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 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numPr>
          <w:ilvl w:val="0"/>
          <w:numId w:val="1"/>
        </w:numPr>
        <w:shd w:val="clear" w:color="auto" w:fill="auto"/>
        <w:tabs>
          <w:tab w:pos="1272" w:val="left"/>
        </w:tabs>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доводам жалобы Заказчиком установлены неправомерные требования к исполнителю по контракту о наличии с полигоном, осуществляющим размещение отходов.</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Комиссией Управления установлено, что в составе Технического задания Заказчиком установлено требование «Исполнитель обязан предоставить Заказчику копию договора Исполнителя с полигоном, осуществляющим размещение отходов.</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Исполнитель должен иметь договорные отношения (представить копию договора) со специализированным полигоном, включенным в государственный реестр объектов размещения отходов».</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ч. 4 ст. 106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данные требования по сути являются понуждением к заключению договора, что противоречит статье 421 Гражданского кодекса Российской Федерации, согласно которой понуждение к заключению договора не допускается, за исключением случаев, когда обязанность заключить договор предусмотрена Гражданским кодексом Российской Федерации, законом или добровольно принятым обязательством.</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По мнению Заявителя, требование о предоставлении талонов с полигона является достаточным подтверждением договорных отношений с полигоном у исполнителя или субподрядчика по исполнению заключенного Контракта.</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Не согласившись с доводами Заявителя представители Заказчика пояснили, что во исполнении требований статьи 11 Федерального Закона от 30.03.1999 г. №52-ФЗ «О санитарно-эпидемиологическом благополучии населения» (далее - Закон № 52-ФЗ) обязанностями Заказчика являются выполнение требований санитарного законодательства, обеспечение безопасности здоровья людей. Заказчик ведет работу на поддержание санитарно-эпидемиологического </w:t>
      </w:r>
      <w:r>
        <w:rPr>
          <w:color w:val="000000"/>
          <w:spacing w:val="0"/>
          <w:w w:val="100"/>
          <w:position w:val="0"/>
          <w:shd w:val="clear" w:color="auto" w:fill="auto"/>
          <w:lang w:val="ru-RU" w:eastAsia="ru-RU" w:bidi="ru-RU"/>
        </w:rPr>
        <w:t>благополучия населения и уменьшение вредного воздействия факторов среды обитания на жизнь и здоровье людей.</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статье 22 Закона № 52-ФЗ, отходы производства и потребления подлежат сбору, накоплению, транспортированию, обработке, утилизации, обезвреживанию, размещению, условия и способы которых должны быть безопасными для здоровья населения и среды обитания и которые должны осуществляться в соответствии с санитарными правилами и иными нормативными правовыми актами Российской Федерации.</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Также, согласно положениям ст. 1 Федерального закона от 24.06.1998 №89-ФЗ «Об отходах производства и потребления» (далее - Закон № 89-ФЗ), размещение отходов — хранение и захоронение отходов, при этом хранение отходов - складирование отходов в специализированных объектах сроком более чем одиннадцать месяцев в целях утилизации, обезвреживания, захоронения, а объекты размещения отходов — специально оборудованные сооружения, предназначенные для размещения отходов (полигон, шламохранилище, в том числе шламовый амбар, хвостохранилище, отвал горных пород и другое) и включающие в себя объекты хранения отходов и объекты захоронения отходов.</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Кроме того, наличие у исполнителя договорных отношений со специализированным полигоном, включенным в государственный реестр объектов размещения отходов установлено требованием ч.6 ст. 12 Закона № 89-ФЗ, где указано, что объекты размещения отходов вносятся в государственный реестр объектов размещения отходов. Ведение государственного реестра объектов размещения отходов осуществляется в порядке, определенном уполномоченным Правительством Российской Федерации федеральным органом исполнительной власти.</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 7 ст. 12 Закона № 89-ФЗ, запрещается размещение отходов на объектах, не внесенных в государственный реестр объектов размещения отходов.</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Кроме того, согласно пояснениям представителей Заказчика участники закупки не обязаны иметь действующий договор с полигоном на момент подачи заявки. Данное требование установлено непосредственно к исполнителю по контракту.</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 основании вышеизложенного, с учетом представленных документов и сведений, пояснений представителей Заказчика и Заявителя Комиссия Управления приходит к выводу о необоснованности данного довода жалобы.</w:t>
      </w:r>
    </w:p>
    <w:p>
      <w:pPr>
        <w:pStyle w:val="Style6"/>
        <w:keepNext w:val="0"/>
        <w:keepLines w:val="0"/>
        <w:widowControl w:val="0"/>
        <w:numPr>
          <w:ilvl w:val="0"/>
          <w:numId w:val="1"/>
        </w:numPr>
        <w:shd w:val="clear" w:color="auto" w:fill="auto"/>
        <w:tabs>
          <w:tab w:pos="1272"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Кроме того, в составе жалобы Заявитель указывает на установление в Техническом задании избыточного требования «Исполнитель обязан в течение 6 часов вывезти отходы после поступления заявки от Заказчика».</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Так, по мнению Заявителя, с учетом логистических особенностей города, пробок и заторов, расположения полигонов, и баз, срока действия Контракта и количества выездов запланированных на данный срок, требование по вывозу мусора за 6 часов после заявки является избыточным и ограничивающим конкуренцию.</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Не согласившись с доводами Заявителя, представители Заказчика пояснили, что вышеуказанное требование обосновано продолжительностью рабочего дня Заказчика (8-ми часовой рабочий день: 2 часа для подачи, обработки заявки: прием </w:t>
      </w:r>
      <w:r>
        <w:rPr>
          <w:color w:val="000000"/>
          <w:spacing w:val="0"/>
          <w:w w:val="100"/>
          <w:position w:val="0"/>
          <w:shd w:val="clear" w:color="auto" w:fill="auto"/>
          <w:lang w:val="ru-RU" w:eastAsia="ru-RU" w:bidi="ru-RU"/>
        </w:rPr>
        <w:t>заявки, выбор транспорта, составления маршрута движения, 6 часов на прибытие к месту сбора отходов). Отходы должны быть вывезены в день подачи заявки и под контролем Заказчика.</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силу ч.4 ст.106 Закона о контрактной системе обязанность доказывания нарушений со стороны Заказчика лежит на подателе жалобы, при этом в составе жалобы Заявителем не представлено документов и сведений, подтверждающих обоснованность доводов жалобы, а также документов и доказательств, свидетельствующих об установлении оспариваемых требований в нарушении положений Закона о контрактной системе,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6"/>
        <w:keepNext w:val="0"/>
        <w:keepLines w:val="0"/>
        <w:widowControl w:val="0"/>
        <w:numPr>
          <w:ilvl w:val="0"/>
          <w:numId w:val="1"/>
        </w:numPr>
        <w:shd w:val="clear" w:color="auto" w:fill="auto"/>
        <w:tabs>
          <w:tab w:pos="1272" w:val="left"/>
        </w:tabs>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доводам жалобы Заказчиком установлены неправомерные требования к составу заявки участников закупки.</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Так согласно п. 1.1.6 Требований к содержанию заявки 1.1.6 не включаются участником закупки в заявку на участие в закупке следующие информация и документы:</w:t>
      </w:r>
    </w:p>
    <w:p>
      <w:pPr>
        <w:pStyle w:val="Style6"/>
        <w:keepNext w:val="0"/>
        <w:keepLines w:val="0"/>
        <w:widowControl w:val="0"/>
        <w:numPr>
          <w:ilvl w:val="0"/>
          <w:numId w:val="3"/>
        </w:numPr>
        <w:shd w:val="clear" w:color="auto" w:fill="auto"/>
        <w:tabs>
          <w:tab w:pos="990"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pPr>
        <w:pStyle w:val="Style6"/>
        <w:keepNext w:val="0"/>
        <w:keepLines w:val="0"/>
        <w:widowControl w:val="0"/>
        <w:numPr>
          <w:ilvl w:val="0"/>
          <w:numId w:val="3"/>
        </w:numPr>
        <w:shd w:val="clear" w:color="auto" w:fill="auto"/>
        <w:tabs>
          <w:tab w:pos="985" w:val="left"/>
        </w:tabs>
        <w:bidi w:val="0"/>
        <w:spacing w:before="0" w:after="0" w:line="240" w:lineRule="auto"/>
        <w:ind w:left="0" w:right="0" w:firstLine="640"/>
        <w:jc w:val="both"/>
      </w:pPr>
      <w:r>
        <w:rPr>
          <w:color w:val="000000"/>
          <w:spacing w:val="0"/>
          <w:w w:val="100"/>
          <w:position w:val="0"/>
          <w:shd w:val="clear" w:color="auto" w:fill="auto"/>
          <w:lang w:val="ru-RU" w:eastAsia="ru-RU" w:bidi="ru-RU"/>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pPr>
        <w:pStyle w:val="Style6"/>
        <w:keepNext w:val="0"/>
        <w:keepLines w:val="0"/>
        <w:widowControl w:val="0"/>
        <w:numPr>
          <w:ilvl w:val="0"/>
          <w:numId w:val="3"/>
        </w:numPr>
        <w:shd w:val="clear" w:color="auto" w:fill="auto"/>
        <w:tabs>
          <w:tab w:pos="990"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идентификационный номер налогоплательщика (при наличии) лиц, указанных в пунктах 2 и 3 части 3 статьи 104 Закона №44-ФЗ,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6"/>
        <w:keepNext w:val="0"/>
        <w:keepLines w:val="0"/>
        <w:widowControl w:val="0"/>
        <w:numPr>
          <w:ilvl w:val="0"/>
          <w:numId w:val="3"/>
        </w:numPr>
        <w:shd w:val="clear" w:color="auto" w:fill="auto"/>
        <w:tabs>
          <w:tab w:pos="990" w:val="left"/>
        </w:tabs>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w:t>
      </w:r>
      <w:r>
        <w:rPr>
          <w:color w:val="000000"/>
          <w:spacing w:val="0"/>
          <w:w w:val="100"/>
          <w:position w:val="0"/>
          <w:shd w:val="clear" w:color="auto" w:fill="auto"/>
          <w:lang w:val="ru-RU" w:eastAsia="ru-RU" w:bidi="ru-RU"/>
        </w:rPr>
        <w:t>качестве индивидуального предпринимателя), адрес электронной почты, номер контактного телефона;</w:t>
      </w:r>
    </w:p>
    <w:p>
      <w:pPr>
        <w:pStyle w:val="Style6"/>
        <w:keepNext w:val="0"/>
        <w:keepLines w:val="0"/>
        <w:widowControl w:val="0"/>
        <w:numPr>
          <w:ilvl w:val="0"/>
          <w:numId w:val="3"/>
        </w:numPr>
        <w:shd w:val="clear" w:color="auto" w:fill="auto"/>
        <w:tabs>
          <w:tab w:pos="990"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копия документа, удостоверяющего личность участника закупки в соответствии с законодательством РФ (если участник закупки является физическим лицом, не являющимся индивидуальным предпринимателем);</w:t>
      </w:r>
    </w:p>
    <w:p>
      <w:pPr>
        <w:pStyle w:val="Style6"/>
        <w:keepNext w:val="0"/>
        <w:keepLines w:val="0"/>
        <w:widowControl w:val="0"/>
        <w:numPr>
          <w:ilvl w:val="0"/>
          <w:numId w:val="3"/>
        </w:numPr>
        <w:shd w:val="clear" w:color="auto" w:fill="auto"/>
        <w:tabs>
          <w:tab w:pos="990"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pPr>
        <w:pStyle w:val="Style6"/>
        <w:keepNext w:val="0"/>
        <w:keepLines w:val="0"/>
        <w:widowControl w:val="0"/>
        <w:numPr>
          <w:ilvl w:val="0"/>
          <w:numId w:val="3"/>
        </w:numPr>
        <w:shd w:val="clear" w:color="auto" w:fill="auto"/>
        <w:tabs>
          <w:tab w:pos="990"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Style6"/>
        <w:keepNext w:val="0"/>
        <w:keepLines w:val="0"/>
        <w:widowControl w:val="0"/>
        <w:numPr>
          <w:ilvl w:val="0"/>
          <w:numId w:val="3"/>
        </w:numPr>
        <w:shd w:val="clear" w:color="auto" w:fill="auto"/>
        <w:tabs>
          <w:tab w:pos="990"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pPr>
        <w:pStyle w:val="Style6"/>
        <w:keepNext w:val="0"/>
        <w:keepLines w:val="0"/>
        <w:widowControl w:val="0"/>
        <w:numPr>
          <w:ilvl w:val="0"/>
          <w:numId w:val="3"/>
        </w:numPr>
        <w:shd w:val="clear" w:color="auto" w:fill="auto"/>
        <w:tabs>
          <w:tab w:pos="990"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pPr>
        <w:pStyle w:val="Style6"/>
        <w:keepNext w:val="0"/>
        <w:keepLines w:val="0"/>
        <w:widowControl w:val="0"/>
        <w:numPr>
          <w:ilvl w:val="0"/>
          <w:numId w:val="3"/>
        </w:numPr>
        <w:shd w:val="clear" w:color="auto" w:fill="auto"/>
        <w:tabs>
          <w:tab w:pos="1320"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декларация о принадлежности участника закупки к организации инвалидов, предусмотренной частью 2 статьи 29 Закона №44-ФЗ (если участник закупки является такой организацией);</w:t>
      </w:r>
    </w:p>
    <w:p>
      <w:pPr>
        <w:pStyle w:val="Style6"/>
        <w:keepNext w:val="0"/>
        <w:keepLines w:val="0"/>
        <w:widowControl w:val="0"/>
        <w:numPr>
          <w:ilvl w:val="0"/>
          <w:numId w:val="3"/>
        </w:numPr>
        <w:shd w:val="clear" w:color="auto" w:fill="auto"/>
        <w:tabs>
          <w:tab w:pos="1320"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3 статьи 30 Закона №44-ФЗ.</w:t>
      </w:r>
    </w:p>
    <w:p>
      <w:pPr>
        <w:pStyle w:val="Style6"/>
        <w:keepNext w:val="0"/>
        <w:keepLines w:val="0"/>
        <w:widowControl w:val="0"/>
        <w:numPr>
          <w:ilvl w:val="0"/>
          <w:numId w:val="3"/>
        </w:numPr>
        <w:shd w:val="clear" w:color="auto" w:fill="auto"/>
        <w:tabs>
          <w:tab w:pos="1320"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Закона №44-ФЗ, и предусмотренные подпунктом 2 пункта 1.2.1 подраздела 1.2 настоящего приложения к извещению.</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Исходя из положений п.1 ч.1 ст. 43 Закона о контрактной системе, заявка на участие в закупки должна содержать данные документы и сведения.</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На заседании Комиссии Управления представители Заказчика пояснили, что согласно п.1 ч.1 ст. 49 Закона о контрактной системе Заявка на участие в закупке должна содержать информацию и документы, предусмотренные подпунктами «м» - «п» пункта 1, подпунктами «а» - «в» п. 2, п. 5 ч. 1 ст. 43 Закона о контрактной системе. Заявка также может содержать информацию и документы, предусмотренные подпунктом «д» п. 2 ч. 1 ст. 43 Закона о контрактной системе. Таким образом положения п. 1.1.6 не противоречат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Комиссия Управления отмечает, что согласно п.2 ч.6 ст. 43 Закона о контрактной системе при проведении электронных процедур, закрытых электронных процедур информация и документы, предусмотренные подпунктами «а» - «л» п. 1 ч. 1 ст. 43 Закона о контрактной системе, не включаются участником закупки в заявку на участие в закупке. Такие информация и документы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п. 1.1.7 Требований к содержанию заявки информация и документы, предусмотренные подпунктами 1 - 11 пункта 1.1.6 данного подраздела,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ЕИС.</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Документы, предусмотренные подпунктом 12 пункта 1.1.6 настоящего подраздела,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Исходя из совокупности положений п.1 ч.1 ст. 49, п.2 ч.6 ст. 43 Закона о контрактной системе, требования Заказчика к содержанию заявки на участие в закупке не противоречат нормам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указанные доводы жалобы не нашли своего подтверждения и являются необоснованными.</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4. Также в составе жалобы Заявитель указывает на отсутствие возможности подать запрос на разъяснение положений извещения о закупке, поскольку на площадке АО «Сбербанк — АСТ» отсутствует кнопка для подачи запроса.</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 xml:space="preserve">Вместе с этим Комиссия Управления отмечает, что рассмотрение действий операторов электронных площадок, согласно приказу Федеральной антимонопольной службы от 13.10.2015 №955/15 «О координации деятельности </w:t>
      </w:r>
      <w:r>
        <w:rPr>
          <w:color w:val="000000"/>
          <w:spacing w:val="0"/>
          <w:w w:val="100"/>
          <w:position w:val="0"/>
          <w:shd w:val="clear" w:color="auto" w:fill="auto"/>
          <w:lang w:val="ru-RU" w:eastAsia="ru-RU" w:bidi="ru-RU"/>
        </w:rPr>
        <w:t>центрального аппарата ФАС России и территориальных органов ФАС России при осуществлении контроля в сфере закупок в соответствии с Федеральным закона от 05.04.2013 №44-ФЗ «О контрактной системе в сфере закупок товаров, работ, услуг для обеспечения государственных и муниципальных нужд», а также при осуществлении полномочий по ведению реестра недобросовестных поставщиков (подрядчиков, исполнителей)» (далее - приказ ФАС России №955/15), на предмет соответствия требованиям Закона о контрактной системе относится к компетенции ФАС России.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в соответствии с положениями приказа ФАС России №955/15, доводы жалобы Заявителя на действия оператора электронной площадки оставлены без рассмотрения.</w:t>
      </w:r>
    </w:p>
    <w:p>
      <w:pPr>
        <w:pStyle w:val="Style6"/>
        <w:keepNext w:val="0"/>
        <w:keepLines w:val="0"/>
        <w:widowControl w:val="0"/>
        <w:shd w:val="clear" w:color="auto" w:fill="auto"/>
        <w:bidi w:val="0"/>
        <w:spacing w:before="0" w:after="22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numPr>
          <w:ilvl w:val="0"/>
          <w:numId w:val="5"/>
        </w:numPr>
        <w:shd w:val="clear" w:color="auto" w:fill="auto"/>
        <w:tabs>
          <w:tab w:pos="982" w:val="left"/>
        </w:tabs>
        <w:bidi w:val="0"/>
        <w:spacing w:before="0" w:after="0" w:line="228" w:lineRule="auto"/>
        <w:ind w:left="0" w:right="0" w:firstLine="700"/>
        <w:jc w:val="both"/>
      </w:pPr>
      <w:r>
        <w:rPr>
          <w:color w:val="000000"/>
          <w:spacing w:val="0"/>
          <w:w w:val="100"/>
          <w:position w:val="0"/>
          <w:shd w:val="clear" w:color="auto" w:fill="auto"/>
          <w:lang w:val="ru-RU" w:eastAsia="ru-RU" w:bidi="ru-RU"/>
        </w:rPr>
        <w:t>.Признать жалобу ООО «КРИТЕРИИ КОНСАЛТ» на действия МОСУ МВД России имени В.Я. Кикотя необоснованной.</w:t>
      </w:r>
    </w:p>
    <w:p>
      <w:pPr>
        <w:pStyle w:val="Style6"/>
        <w:keepNext w:val="0"/>
        <w:keepLines w:val="0"/>
        <w:widowControl w:val="0"/>
        <w:numPr>
          <w:ilvl w:val="0"/>
          <w:numId w:val="5"/>
        </w:numPr>
        <w:shd w:val="clear" w:color="auto" w:fill="auto"/>
        <w:tabs>
          <w:tab w:pos="1064" w:val="left"/>
        </w:tabs>
        <w:bidi w:val="0"/>
        <w:spacing w:before="0" w:after="0" w:line="228" w:lineRule="auto"/>
        <w:ind w:left="0" w:right="0" w:firstLine="700"/>
        <w:jc w:val="both"/>
      </w:pPr>
      <w:r>
        <w:rPr>
          <w:color w:val="000000"/>
          <w:spacing w:val="0"/>
          <w:w w:val="100"/>
          <w:position w:val="0"/>
          <w:shd w:val="clear" w:color="auto" w:fill="auto"/>
          <w:lang w:val="ru-RU" w:eastAsia="ru-RU" w:bidi="ru-RU"/>
        </w:rPr>
        <w:t>Жалобу ООО «КРИТЕРИИ КОНСАЛТ» на действия оператора электронной площадки оставить без рассмотрения.</w:t>
      </w:r>
    </w:p>
    <w:p>
      <w:pPr>
        <w:pStyle w:val="Style6"/>
        <w:keepNext w:val="0"/>
        <w:keepLines w:val="0"/>
        <w:widowControl w:val="0"/>
        <w:numPr>
          <w:ilvl w:val="0"/>
          <w:numId w:val="5"/>
        </w:numPr>
        <w:shd w:val="clear" w:color="auto" w:fill="auto"/>
        <w:tabs>
          <w:tab w:pos="1059" w:val="left"/>
        </w:tabs>
        <w:bidi w:val="0"/>
        <w:spacing w:before="0" w:after="220" w:line="228" w:lineRule="auto"/>
        <w:ind w:left="0" w:right="0" w:firstLine="700"/>
        <w:jc w:val="both"/>
      </w:pPr>
      <w:r>
        <w:rPr>
          <w:color w:val="000000"/>
          <w:spacing w:val="0"/>
          <w:w w:val="100"/>
          <w:position w:val="0"/>
          <w:shd w:val="clear" w:color="auto" w:fill="auto"/>
          <w:lang w:val="ru-RU" w:eastAsia="ru-RU" w:bidi="ru-RU"/>
        </w:rPr>
        <w:t>Снять ограничения на определение поставщика (подрядчика, исполнителя), наложенные письмом Московским УФАС России.</w:t>
      </w:r>
    </w:p>
    <w:p>
      <w:pPr>
        <w:pStyle w:val="Style6"/>
        <w:keepNext w:val="0"/>
        <w:keepLines w:val="0"/>
        <w:widowControl w:val="0"/>
        <w:shd w:val="clear" w:color="auto" w:fill="auto"/>
        <w:bidi w:val="0"/>
        <w:spacing w:before="0" w:after="220" w:line="228"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6"/>
        <w:keepNext w:val="0"/>
        <w:keepLines w:val="0"/>
        <w:widowControl w:val="0"/>
        <w:shd w:val="clear" w:color="auto" w:fill="auto"/>
        <w:tabs>
          <w:tab w:pos="8453" w:val="left"/>
        </w:tabs>
        <w:bidi w:val="0"/>
        <w:spacing w:before="0" w:after="300" w:line="228" w:lineRule="auto"/>
        <w:ind w:left="0" w:right="0" w:firstLine="0"/>
        <w:jc w:val="both"/>
      </w:pPr>
      <w:r>
        <w:rPr>
          <w:color w:val="000000"/>
          <w:spacing w:val="0"/>
          <w:w w:val="100"/>
          <w:position w:val="0"/>
          <w:shd w:val="clear" w:color="auto" w:fill="auto"/>
          <w:lang w:val="ru-RU" w:eastAsia="ru-RU" w:bidi="ru-RU"/>
        </w:rPr>
        <w:t>Председательствующий</w:t>
        <w:tab/>
        <w:t>Е.А.Миронова</w:t>
      </w:r>
    </w:p>
    <w:p>
      <w:pPr>
        <w:pStyle w:val="Style6"/>
        <w:keepNext w:val="0"/>
        <w:keepLines w:val="0"/>
        <w:widowControl w:val="0"/>
        <w:shd w:val="clear" w:color="auto" w:fill="auto"/>
        <w:tabs>
          <w:tab w:pos="8122" w:val="left"/>
        </w:tabs>
        <w:bidi w:val="0"/>
        <w:spacing w:before="0" w:after="300" w:line="228" w:lineRule="auto"/>
        <w:ind w:left="0" w:right="0" w:firstLine="0"/>
        <w:jc w:val="both"/>
      </w:pPr>
      <w:r>
        <w:rPr>
          <w:color w:val="000000"/>
          <w:spacing w:val="0"/>
          <w:w w:val="100"/>
          <w:position w:val="0"/>
          <w:shd w:val="clear" w:color="auto" w:fill="auto"/>
          <w:lang w:val="ru-RU" w:eastAsia="ru-RU" w:bidi="ru-RU"/>
        </w:rPr>
        <w:t>Члены Комиссии</w:t>
        <w:tab/>
        <w:t>А.А. Кутейников</w:t>
      </w:r>
    </w:p>
    <w:p>
      <w:pPr>
        <w:pStyle w:val="Style6"/>
        <w:keepNext w:val="0"/>
        <w:keepLines w:val="0"/>
        <w:widowControl w:val="0"/>
        <w:shd w:val="clear" w:color="auto" w:fill="auto"/>
        <w:bidi w:val="0"/>
        <w:spacing w:before="0" w:after="900" w:line="240" w:lineRule="auto"/>
        <w:ind w:left="0" w:right="0" w:firstLine="0"/>
        <w:jc w:val="right"/>
      </w:pPr>
      <w:r>
        <w:rPr>
          <w:color w:val="000000"/>
          <w:spacing w:val="0"/>
          <w:w w:val="100"/>
          <w:position w:val="0"/>
          <w:shd w:val="clear" w:color="auto" w:fill="auto"/>
          <w:lang w:val="ru-RU" w:eastAsia="ru-RU" w:bidi="ru-RU"/>
        </w:rPr>
        <w:t>И.И.Фурсиков</w:t>
      </w:r>
    </w:p>
    <w:p>
      <w:pPr>
        <w:pStyle w:val="Style2"/>
        <w:keepNext w:val="0"/>
        <w:keepLines w:val="0"/>
        <w:widowControl w:val="0"/>
        <w:shd w:val="clear" w:color="auto" w:fill="auto"/>
        <w:bidi w:val="0"/>
        <w:spacing w:before="0" w:line="259" w:lineRule="auto"/>
        <w:ind w:left="0" w:right="0" w:firstLine="0"/>
        <w:jc w:val="left"/>
      </w:pPr>
      <w:r>
        <w:rPr>
          <w:color w:val="000000"/>
          <w:spacing w:val="0"/>
          <w:w w:val="100"/>
          <w:position w:val="0"/>
          <w:shd w:val="clear" w:color="auto" w:fill="auto"/>
          <w:lang w:val="ru-RU" w:eastAsia="ru-RU" w:bidi="ru-RU"/>
        </w:rPr>
        <w:t>Исп.Кутейников А.А. тел.8(495)784-75-05</w:t>
      </w:r>
    </w:p>
    <w:sectPr>
      <w:headerReference w:type="default" r:id="rId7"/>
      <w:headerReference w:type="first" r:id="rId8"/>
      <w:footnotePr>
        <w:pos w:val="pageBottom"/>
        <w:numFmt w:val="decimal"/>
        <w:numRestart w:val="continuous"/>
      </w:footnotePr>
      <w:pgSz w:w="11900" w:h="16840"/>
      <w:pgMar w:top="1158" w:right="534" w:bottom="1024" w:left="1094" w:header="0" w:footer="3" w:gutter="0"/>
      <w:pgNumType w:start="1"/>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3927475</wp:posOffset>
              </wp:positionH>
              <wp:positionV relativeFrom="page">
                <wp:posOffset>473075</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25pt;margin-top:37.25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25FA6"/>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25FA6"/>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s>
</file>