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487680" cy="59118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487680" cy="591185"/>
                    </a:xfrm>
                    <a:prstGeom prst="rect"/>
                  </pic:spPr>
                </pic:pic>
              </a:graphicData>
            </a:graphic>
          </wp:inline>
        </w:drawing>
      </w:r>
    </w:p>
    <w:p>
      <w:pPr>
        <w:pStyle w:val="Style2"/>
        <w:keepNext w:val="0"/>
        <w:keepLines w:val="0"/>
        <w:widowControl w:val="0"/>
        <w:shd w:val="clear" w:color="auto" w:fill="auto"/>
        <w:bidi w:val="0"/>
        <w:spacing w:before="0" w:after="180" w:line="271"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е-тай: 1о77@Га8.§оу.ш</w:t>
      </w:r>
    </w:p>
    <w:p>
      <w:pPr>
        <w:pStyle w:val="Style2"/>
        <w:keepNext w:val="0"/>
        <w:keepLines w:val="0"/>
        <w:widowControl w:val="0"/>
        <w:shd w:val="clear" w:color="auto" w:fill="auto"/>
        <w:tabs>
          <w:tab w:leader="underscore" w:pos="1661" w:val="left"/>
          <w:tab w:leader="underscore" w:pos="3698"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  от</w:t>
      </w:r>
    </w:p>
    <w:p>
      <w:pPr>
        <w:pStyle w:val="Style6"/>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ФГБНУ «РНЦХ ИМ. АКАД. Б.В. ПЕТРОВСКОГО»</w:t>
      </w:r>
    </w:p>
    <w:p>
      <w:pPr>
        <w:pStyle w:val="Style6"/>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п.1еокй81оуа@те^.ги</w:t>
      </w:r>
    </w:p>
    <w:p>
      <w:pPr>
        <w:pStyle w:val="Style6"/>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ООО «АПГРЕЙТ»</w:t>
      </w:r>
    </w:p>
    <w:p>
      <w:pPr>
        <w:pStyle w:val="Style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pgSz w:w="11900" w:h="16840"/>
          <w:pgMar w:top="1466" w:right="2146" w:bottom="925" w:left="1316" w:header="1038" w:footer="497" w:gutter="0"/>
          <w:pgNumType w:start="1"/>
          <w:cols w:num="2" w:space="1039"/>
          <w:noEndnote/>
          <w:rtlGutter w:val="0"/>
          <w:docGrid w:linePitch="360"/>
        </w:sectPr>
      </w:pPr>
      <w:r>
        <w:rPr>
          <w:color w:val="000000"/>
          <w:spacing w:val="0"/>
          <w:w w:val="100"/>
          <w:position w:val="0"/>
          <w:shd w:val="clear" w:color="auto" w:fill="auto"/>
          <w:lang w:val="ru-RU" w:eastAsia="ru-RU" w:bidi="ru-RU"/>
        </w:rPr>
        <w:t>а§д456^8х96@уапдех.ги</w:t>
      </w:r>
    </w:p>
    <w:p>
      <w:pPr>
        <w:widowControl w:val="0"/>
        <w:spacing w:line="240" w:lineRule="exact"/>
        <w:rPr>
          <w:sz w:val="19"/>
          <w:szCs w:val="19"/>
        </w:rPr>
      </w:pPr>
    </w:p>
    <w:p>
      <w:pPr>
        <w:widowControl w:val="0"/>
        <w:spacing w:line="240" w:lineRule="exact"/>
        <w:rPr>
          <w:sz w:val="19"/>
          <w:szCs w:val="19"/>
        </w:rPr>
      </w:pPr>
    </w:p>
    <w:p>
      <w:pPr>
        <w:widowControl w:val="0"/>
        <w:spacing w:before="0" w:after="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45" w:right="0" w:bottom="957" w:left="0" w:header="0" w:footer="3" w:gutter="0"/>
          <w:cols w:space="720"/>
          <w:noEndnote/>
          <w:rtlGutter w:val="0"/>
          <w:docGrid w:linePitch="360"/>
        </w:sectPr>
      </w:pP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335"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077/06/106-ЕМ9/2023 о нарушении</w:t>
        <w:br/>
        <w:t>законодательства о контрактной системе</w:t>
        <w:br/>
        <w:t>04.05.2023</w:t>
        <w:tab/>
        <w:t>г. Москва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С.И. Казарина,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2019-пСоV.,</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ФГБНУ «РНЦХ ИМ. АКАД. Б.В. ПЕТРОВСКОГО»: О.В. Искаковой (доверенность от 04.05.2023 №01-исх/1565), Н.А. Феоктистовой (доверенность от 30.12.2022 №01-исх/4156),</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«АПГРЕЙТ»: Д.А. Барабанова (доверенность от 09.01.2023 №б/н),</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рассмотрев жалобу ООО «АПГРЕЙТ» (далее — Заявитель) на действия ФГБНУ «РНЦХ ИМ. АКАД. Б.В. ПЕТРОВСКОГО» (далее — Заказчик) при проведении электронного аукциона на право заключения государственного контракта на поставку медицинского оборудования лот №21 для нужд ФГБНУ</w:t>
      </w:r>
    </w:p>
    <w:p>
      <w:pPr>
        <w:pStyle w:val="Style6"/>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«РНЦХ ИМ. АКАД. Б.В. ПЕТРОВСКОГО» (Закупка № 0373100072123000548) (далее - аукцион) в соответствии с Федеральным законом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письмом Московского УФАС России.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tabs>
          <w:tab w:pos="44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1. В составе жалобы Заявитель указывает, что Заказчиком неправомерно не применены положения постановления Правительства Российской Федерации от 08.02.2017 №</w:t>
        <w:tab/>
        <w:t>145, которыми утверждены Правила</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 в части описания объекта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обоснование своей позиции Заявитель указывает, что согласно техническому заданию Заказчиком требуемые к поставке медицинские изделия предусмотрены следующими кодами КТРУ: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26.60.12.119-00000376 - Процессор видеоизображений для эндоскопии,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26.60.12.119-00000371 - Источник света эндоскопический, с питанием от сети,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26.60.12.119-00000847 - Колоноскоп гибкий,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32.50.13.190-00008290 - Гастроскоп гибкий,</w:t>
      </w:r>
    </w:p>
    <w:p>
      <w:pPr>
        <w:pStyle w:val="Style6"/>
        <w:keepNext w:val="0"/>
        <w:keepLines w:val="0"/>
        <w:widowControl w:val="0"/>
        <w:shd w:val="clear" w:color="auto" w:fill="auto"/>
        <w:bidi w:val="0"/>
        <w:spacing w:before="0" w:after="120" w:line="240" w:lineRule="auto"/>
        <w:ind w:left="0" w:right="0" w:firstLine="700"/>
        <w:jc w:val="both"/>
      </w:pPr>
      <w:r>
        <w:rPr>
          <w:color w:val="000000"/>
          <w:spacing w:val="0"/>
          <w:w w:val="100"/>
          <w:position w:val="0"/>
          <w:shd w:val="clear" w:color="auto" w:fill="auto"/>
          <w:lang w:val="ru-RU" w:eastAsia="ru-RU" w:bidi="ru-RU"/>
        </w:rPr>
        <w:t>26.60.12.119-00000764 - Бронхоскоп гибкий,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32.50.13.190-00008290 - Гастроскоп гибкий.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по мнению Заявителя, описание объекта закупки полностью соответствует описанию медицинских изделий, имеющихся в КТРУ с вышеперечисленными кодами, тогда как Заказчиком в извещении об осуществлении закупки не указаны данные коды КТРУ и не применяется информация, включенная в данные позиции каталога, что нарушает часть 6 статьи 23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tabs>
          <w:tab w:pos="61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w:t>
        <w:tab/>
        <w:t>145 утверждены Правила формирования и ведения в единой</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 «б» п.2 Правил использования КТРУ каталог используется заказчиками в целях описания объектов закупки, которое включается в план- график закупок, извещение об осуществлении закупки, приглашение и документацию о закупке.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п.4 Правил использования КТРУ заказчики обязаны применять информацию, включенную в позицию каталога в соответствии с пп. «б» - «г» и «е» - «з» п.10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1"/>
        </w:numPr>
        <w:shd w:val="clear" w:color="auto" w:fill="auto"/>
        <w:tabs>
          <w:tab w:pos="143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наименование товара, работы, услуги;</w:t>
      </w:r>
    </w:p>
    <w:p>
      <w:pPr>
        <w:pStyle w:val="Style6"/>
        <w:keepNext w:val="0"/>
        <w:keepLines w:val="0"/>
        <w:widowControl w:val="0"/>
        <w:numPr>
          <w:ilvl w:val="0"/>
          <w:numId w:val="1"/>
        </w:numPr>
        <w:shd w:val="clear" w:color="auto" w:fill="auto"/>
        <w:tabs>
          <w:tab w:pos="143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1"/>
        </w:numPr>
        <w:shd w:val="clear" w:color="auto" w:fill="auto"/>
        <w:tabs>
          <w:tab w:pos="142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установлено, что Заказчиком в извещении о проведении электронного аукциона от 20.04.2023 №0373100072123000548 установлен код ОКПД2 26.60.12.129, которому соответствуют «Приборы и аппараты для функциональной диагностики прочие, применяемые в медицинских целях, не включенные в другие группировки».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представители Заказчика пояснили, что согласно извещению о проведении электронного аукциона, объектом закупочной процедуры является поставка комплектующих для системы эндоскопической визуализации, при этом в соответствии с п.7 Правил использования КТРУ, в случае осуществления закупки товара, в отношении которого в каталоге отсутствуют соответствующие позиции, заказчик имеет право описать товар в соответствии с требованиями ст.33 Закона о контрактной системе, ввиду чего Заказчиком выбран код ОКПД2 26.60.12.129 «Приборы и аппараты для функциональной диагностики прочие, применяемые в медицинских целях, не включенные в другие группировки» и установлены показатели, требования в соответствии с законодательством Российской Федерации о техническом регулировании и стандартизации, а именно ГОСТ Р 56278-2014 и ГОСТ Р 55719-2013.</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Комиссия Управления отмечает, что на заседании представителями Заказчика не представлено пояснений, которые однозначно указывали бы на то, что по своим обязательным для применения характеристикам имеющиеся позиции КТРУ не могут быть использованы для применения.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выводы Заказчика о невозможности описания объекта закупки с учетом Правил использования КТРУ не свидетельствуют о возможности описания объекта закупки в соответствии с положениями ст. 33 Закона о контрактной системе при наличии в каталоге позиции закупаемого товара, соответствующего общим целям и назначению такого товара.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Заказчиком при описании объекта закупки неправомерно не применены позиции КТРУ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Иного на заседании Комиссии Управления Заказчиком не доказано.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Заказчиком п.1 ч.1 ст.33, ч.6 ст.23 Закона о контрактной системе, что содержит признаки состава административного правонарушения,</w:t>
      </w:r>
    </w:p>
    <w:p>
      <w:pPr>
        <w:pStyle w:val="Style6"/>
        <w:keepNext w:val="0"/>
        <w:keepLines w:val="0"/>
        <w:widowControl w:val="0"/>
        <w:shd w:val="clear" w:color="auto" w:fill="auto"/>
        <w:tabs>
          <w:tab w:pos="3490"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предусмотренного ч.1.4</w:t>
        <w:tab/>
        <w:t>ст.7.30 Кодекса Российской Федерации об</w:t>
      </w:r>
    </w:p>
    <w:p>
      <w:pPr>
        <w:pStyle w:val="Style6"/>
        <w:keepNext w:val="0"/>
        <w:keepLines w:val="0"/>
        <w:widowControl w:val="0"/>
        <w:shd w:val="clear" w:color="auto" w:fill="auto"/>
        <w:bidi w:val="0"/>
        <w:spacing w:before="0" w:after="60" w:line="240" w:lineRule="auto"/>
        <w:ind w:left="0" w:right="0" w:firstLine="0"/>
        <w:jc w:val="both"/>
      </w:pPr>
      <w:r>
        <w:rPr>
          <w:color w:val="000000"/>
          <w:spacing w:val="0"/>
          <w:w w:val="100"/>
          <w:position w:val="0"/>
          <w:shd w:val="clear" w:color="auto" w:fill="auto"/>
          <w:lang w:val="ru-RU" w:eastAsia="ru-RU" w:bidi="ru-RU"/>
        </w:rPr>
        <w:t>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2.Также по мнению Заявителя, совокупности установленных параметров к закупаемым товарам по п.1-6 Технического задания соответствуют товары единственного производителя, а именно производителя «ХОЯ Корпорейшн», Япония, при этом ограничивающим требованием к поставке иного производителя является требование: «1.5 Совместимость с оборудованием марки «ПЕНТАКС», имеющимся в эксплуатации у Заказчика: Наличие»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представители Заказчика пояснили, что потребность Заказчика в закупке комплектующих марки «ПЕНТАКС» для имеющегося на балансе оборудования (стоек) производства РЕХТЛХ МеШса1, подтверждается письмом дистрибьютора компании «ПЕНТАКС Европа ГмбХ» о необходимости учесть требования совместимости оборудования (исх. №б/н от 16.02.2022):</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«Благодаря уникальной конструкции коннекторов, а также совместимости внутренних электронных микросхем видеоэндоскопы, а также видеопроцессоры РЕХТЛХ/ РЕХТЛХ МеШса1 производства ХОЯ Корпорейшн, Япония, совместимы только с видеопроцессорами/ видео-эндоскопами той же марки РЕХТЛХ/РЕХТЛХ МесРсаЕ того же производителя ХОЯ Корпорейшн*, Япония, и не совместимы с процессорами/видеоэндоскопами других производителей».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представители Заказчика добавили, что закупаемые компоненты размещаются/устанавливаются на специальной стойке/тележке производства «ПЕНТАКС», имеющейся у Заказчика на балансе, ввиду чего Заказчику требуется к поставке оборудование исключительно данного производителя.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исходя из писем дистрибьютора компании «ПЕНТАКС Европа ГмбХ» (исх. №б/н от 16.02.2022, исх. №б/н от 27.04.2023) можно сделать вывод, что закупаемый Заказчиком товар по п.1 «Процессор видеоизображений для эндоскопии», производимый изготовителем «ХОЯ Корпорейшн», Япония, должен быть совместим с закупаемыми товарами по п.2 «Видеогастроскоп гибкий», п.3 «Видеогастроскоп ультразвуковой тонкий конвексный», п. 4 «Видеогастроскоп гибкий», п.5 «Видеоколоноскоп гибкий тонкий», п.6 «Видеобронхоскоп гибкий, многоразового использования» одноименной марки РЕХТЛХ/РЕХТЛХ МесРсаЕ при этом в письмах не сказано, что имеющиеся у Заказчика на балансе стойки производства РЕХТЛХ Мес11са1 совместимы исключительно с закупаемыми товарами данного производителя.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Заказчиком не представлено каких-либо иных письменных документов и сведений, подтверждающих, что имеющиеся у Заказчика стойки производства РЕХТЛХ Мес11са1 совместимы исключительно с закупаемым оборудованием производителя «ХОЯ Корпорейшн».</w:t>
      </w:r>
    </w:p>
    <w:p>
      <w:pPr>
        <w:pStyle w:val="Style6"/>
        <w:keepNext w:val="0"/>
        <w:keepLines w:val="0"/>
        <w:widowControl w:val="0"/>
        <w:shd w:val="clear" w:color="auto" w:fill="auto"/>
        <w:bidi w:val="0"/>
        <w:spacing w:before="0" w:after="6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если у Заказчика имеются определенные обоснованные потребности в получении тех или иных товаров, он вправе устанавливать соответствующие требования к товарам в извещении об осуществлении закупки, но таким образом, чтобы такие требования не</w:t>
        <w:br w:type="page"/>
      </w:r>
      <w:r>
        <w:rPr>
          <w:color w:val="000000"/>
          <w:spacing w:val="0"/>
          <w:w w:val="100"/>
          <w:position w:val="0"/>
          <w:shd w:val="clear" w:color="auto" w:fill="auto"/>
          <w:lang w:val="ru-RU" w:eastAsia="ru-RU" w:bidi="ru-RU"/>
        </w:rPr>
        <w:t>ограничивали количество участников закупки.</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Кроме того, при наличии у Заказчика обоснованной потребности в поставке именно таких товаров, характеристики которых указаны в извещении, Заказчику необходимо определить каким образом требуемый товар наилучшим образом удовлетворяет потребность Заказчика, а также в чем такой товар превосходит по характеристикам аналогичные товары, представленные на рынке и в связи с чем в работе учреждения не могут быть использованы эквивалентные товары.</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При этом Заказчику требуется обладать документальным обоснованием потребности, но не руководствоваться предположениями.</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Таким образом, на основании имеющихся документов и сведений, Комиссия Управления приходит к выводу об обоснованности указанного довода жалобы и о нарушении Заказчиком положений п.1 ч.1 ст.33 Закона о контрактной системе при формировании требований извещения об осуществлении закупки, что содержит признаки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320" w:line="240" w:lineRule="auto"/>
        <w:ind w:left="0" w:right="0" w:firstLine="68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numPr>
          <w:ilvl w:val="0"/>
          <w:numId w:val="3"/>
        </w:numPr>
        <w:shd w:val="clear" w:color="auto" w:fill="auto"/>
        <w:tabs>
          <w:tab w:pos="871"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.Признать жалобу ООО «АПГРЕЙТ» на действия ФГБНУ «РНЦХ ИМ. АКАД. Б.В. ПЕТРОВСКОГО» обоснованной.</w:t>
      </w:r>
    </w:p>
    <w:p>
      <w:pPr>
        <w:pStyle w:val="Style6"/>
        <w:keepNext w:val="0"/>
        <w:keepLines w:val="0"/>
        <w:widowControl w:val="0"/>
        <w:numPr>
          <w:ilvl w:val="0"/>
          <w:numId w:val="3"/>
        </w:numPr>
        <w:shd w:val="clear" w:color="auto" w:fill="auto"/>
        <w:tabs>
          <w:tab w:pos="900"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.Признать в действиях Заказчика нарушения п.1 ч.1 ст.33, ч.6 ст.23 Закона о контрактной системе.</w:t>
      </w:r>
    </w:p>
    <w:p>
      <w:pPr>
        <w:pStyle w:val="Style6"/>
        <w:keepNext w:val="0"/>
        <w:keepLines w:val="0"/>
        <w:widowControl w:val="0"/>
        <w:numPr>
          <w:ilvl w:val="0"/>
          <w:numId w:val="3"/>
        </w:numPr>
        <w:shd w:val="clear" w:color="auto" w:fill="auto"/>
        <w:tabs>
          <w:tab w:pos="98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 Обязательное для исполнения предписание об устранении нарушений законодательства о контрактной системе Заказчику не выдавать, поскольку Заказчику предписание выдано в рамках рассмотрения жалобы ООО «НЕВАРОСТМЕД» по делу № 077/06/106-ЕМ8/2023 от 04.05.2023, при этом при исполнении предписания по вышеуказанному делу Заказчику необходимо руководствоваться также позицией контролирующего органа, изложенной в настоящем решении.</w:t>
      </w:r>
    </w:p>
    <w:p>
      <w:pPr>
        <w:pStyle w:val="Style6"/>
        <w:keepNext w:val="0"/>
        <w:keepLines w:val="0"/>
        <w:widowControl w:val="0"/>
        <w:numPr>
          <w:ilvl w:val="0"/>
          <w:numId w:val="3"/>
        </w:numPr>
        <w:shd w:val="clear" w:color="auto" w:fill="auto"/>
        <w:tabs>
          <w:tab w:pos="1001" w:val="left"/>
        </w:tabs>
        <w:bidi w:val="0"/>
        <w:spacing w:before="0" w:after="320" w:line="240" w:lineRule="auto"/>
        <w:ind w:left="0" w:right="0" w:firstLine="760"/>
        <w:jc w:val="both"/>
      </w:pPr>
      <w:r>
        <w:rPr>
          <w:color w:val="000000"/>
          <w:spacing w:val="0"/>
          <w:w w:val="100"/>
          <w:position w:val="0"/>
          <w:shd w:val="clear" w:color="auto" w:fill="auto"/>
          <w:lang w:val="ru-RU" w:eastAsia="ru-RU" w:bidi="ru-RU"/>
        </w:rPr>
        <w:t>.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200" w:line="240" w:lineRule="auto"/>
        <w:ind w:left="0" w:right="0" w:firstLine="76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6"/>
        <w:keepNext w:val="0"/>
        <w:keepLines w:val="0"/>
        <w:widowControl w:val="0"/>
        <w:shd w:val="clear" w:color="auto" w:fill="auto"/>
        <w:tabs>
          <w:tab w:pos="8021" w:val="left"/>
        </w:tabs>
        <w:bidi w:val="0"/>
        <w:spacing w:before="0" w:after="260" w:line="240" w:lineRule="auto"/>
        <w:ind w:left="0" w:right="0" w:firstLine="0"/>
        <w:jc w:val="both"/>
      </w:pPr>
      <w:r>
        <w:rPr>
          <w:color w:val="000000"/>
          <w:spacing w:val="0"/>
          <w:w w:val="100"/>
          <w:position w:val="0"/>
          <w:shd w:val="clear" w:color="auto" w:fill="auto"/>
          <w:lang w:val="ru-RU" w:eastAsia="ru-RU" w:bidi="ru-RU"/>
        </w:rPr>
        <w:t>Председательствующий</w:t>
        <w:tab/>
        <w:t>С.И. Казарин</w:t>
      </w:r>
    </w:p>
    <w:p>
      <w:pPr>
        <w:pStyle w:val="Style6"/>
        <w:keepNext w:val="0"/>
        <w:keepLines w:val="0"/>
        <w:widowControl w:val="0"/>
        <w:shd w:val="clear" w:color="auto" w:fill="auto"/>
        <w:tabs>
          <w:tab w:pos="8227" w:val="left"/>
        </w:tabs>
        <w:bidi w:val="0"/>
        <w:spacing w:before="0" w:after="120" w:line="240" w:lineRule="auto"/>
        <w:ind w:left="0" w:right="0" w:firstLine="0"/>
        <w:jc w:val="both"/>
      </w:pPr>
      <w:r>
        <mc:AlternateContent>
          <mc:Choice Requires="wps">
            <w:drawing>
              <wp:anchor distT="88900" distB="0" distL="114300" distR="114300" simplePos="0" relativeHeight="125829378" behindDoc="0" locked="0" layoutInCell="1" allowOverlap="1">
                <wp:simplePos x="0" y="0"/>
                <wp:positionH relativeFrom="page">
                  <wp:posOffset>5529580</wp:posOffset>
                </wp:positionH>
                <wp:positionV relativeFrom="paragraph">
                  <wp:posOffset>381000</wp:posOffset>
                </wp:positionV>
                <wp:extent cx="1316990" cy="216535"/>
                <wp:wrapTopAndBottom/>
                <wp:docPr id="2" name="Shape 2"/>
                <a:graphic xmlns:a="http://schemas.openxmlformats.org/drawingml/2006/main">
                  <a:graphicData uri="http://schemas.microsoft.com/office/word/2010/wordprocessingShape">
                    <wps:wsp>
                      <wps:cNvSpPr txBox="1"/>
                      <wps:spPr>
                        <a:xfrm>
                          <a:ext cx="1316990" cy="21653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Е.Д. Мартьянова</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435.40000000000003pt;margin-top:30.pt;width:103.7pt;height:17.050000000000001pt;z-index:-125829375;mso-wrap-distance-left:9.pt;mso-wrap-distance-top:7.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Е.Д. Мартьянова</w:t>
                      </w:r>
                    </w:p>
                  </w:txbxContent>
                </v:textbox>
                <w10:wrap type="topAndBottom" anchorx="page"/>
              </v:shape>
            </w:pict>
          </mc:Fallback>
        </mc:AlternateContent>
      </w:r>
      <w:r>
        <w:rPr>
          <w:color w:val="000000"/>
          <w:spacing w:val="0"/>
          <w:w w:val="100"/>
          <w:position w:val="0"/>
          <w:shd w:val="clear" w:color="auto" w:fill="auto"/>
          <w:lang w:val="ru-RU" w:eastAsia="ru-RU" w:bidi="ru-RU"/>
        </w:rPr>
        <w:t>Члены Комиссии</w:t>
        <w:tab/>
        <w:t>Н.А. Узкий</w:t>
      </w:r>
    </w:p>
    <w:p>
      <w:pPr>
        <w:pStyle w:val="Style9"/>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ru-RU" w:eastAsia="ru-RU" w:bidi="ru-RU"/>
        </w:rPr>
        <w:t>Исп.Мартьянова Е.Д.тел.(495) 784-75-05</w:t>
      </w:r>
    </w:p>
    <w:sectPr>
      <w:footnotePr>
        <w:pos w:val="pageBottom"/>
        <w:numFmt w:val="decimal"/>
        <w:numRestart w:val="continuous"/>
      </w:footnotePr>
      <w:type w:val="continuous"/>
      <w:pgSz w:w="11900" w:h="16840"/>
      <w:pgMar w:top="1145" w:right="1096" w:bottom="957" w:left="1102" w:header="717" w:footer="529"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3D60B0"/>
      <w:sz w:val="18"/>
      <w:szCs w:val="18"/>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Основной текст (3)_"/>
    <w:basedOn w:val="DefaultParagraphFont"/>
    <w:link w:val="Style9"/>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3D60B0"/>
      <w:sz w:val="18"/>
      <w:szCs w:val="18"/>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Основной текст (3)"/>
    <w:basedOn w:val="Normal"/>
    <w:link w:val="CharStyle10"/>
    <w:pPr>
      <w:widowControl w:val="0"/>
      <w:shd w:val="clear" w:color="auto" w:fill="auto"/>
      <w:spacing w:after="22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s>
</file>