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7055" cy="6464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46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ул. К. Либкнехта, 2, г. Архангельск, 163000</w:t>
        <w:br/>
        <w:t>Тел.: (8182) 20-73-21, факс: (8182) 21-54-45</w:t>
        <w:br/>
        <w:t>е-таП: 1о29@Гач.цсн.п1</w:t>
      </w:r>
    </w:p>
    <w:p>
      <w:pPr>
        <w:widowControl w:val="0"/>
      </w:pPr>
    </w:p>
    <w:p>
      <w:pPr>
        <w:pStyle w:val="Style9"/>
        <w:keepNext w:val="0"/>
        <w:keepLines w:val="0"/>
        <w:widowControl w:val="0"/>
        <w:shd w:val="clear" w:color="auto" w:fill="auto"/>
        <w:tabs>
          <w:tab w:pos="2232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133мз-23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029/06/42-366/2023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Каргопольского муниципального округа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164110, Архангельской обл., г. Каргополь,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ул. Победы д. 20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Е-таИ: акаг§оро1@уап&lt;1ех.ги,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71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Кота811ко@каг§оро11апс1.ги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119435, г. Москва, Большой Саввинский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переулок, д. 12, стр. 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71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ко@8ЬегЬапк-а81.ги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Тожибаев Захиджон Пазилжонович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0"/>
          <w:szCs w:val="20"/>
        </w:rPr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1084" w:right="827" w:bottom="480" w:left="1242" w:header="0" w:footer="3" w:gutter="0"/>
          <w:pgNumType w:start="1"/>
          <w:cols w:num="2" w:space="720" w:equalWidth="0">
            <w:col w:w="4766" w:space="802"/>
            <w:col w:w="42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1р.2аЫс1211оп@§та11.согп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3" w:right="0" w:bottom="7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6"/>
        <w:keepNext/>
        <w:keepLines/>
        <w:widowControl w:val="0"/>
        <w:shd w:val="clear" w:color="auto" w:fill="auto"/>
        <w:tabs>
          <w:tab w:pos="8140" w:val="left"/>
        </w:tabs>
        <w:bidi w:val="0"/>
        <w:spacing w:before="0" w:after="340"/>
        <w:ind w:left="0" w:right="0" w:firstLine="22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 мая 2023 года</w:t>
        <w:tab/>
        <w:t>г. Архангельск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— Комиссия Архангельского УФАС России)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9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83" w:lineRule="auto"/>
        <w:ind w:left="2480" w:right="0" w:hanging="2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442" w:val="left"/>
        </w:tabs>
        <w:bidi w:val="0"/>
        <w:spacing w:before="0" w:after="0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Вижевцева С.Н. Ведущий специалист-эксперт отдела контроля закупок;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/>
        <w:ind w:left="2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940"/>
        <w:jc w:val="both"/>
      </w:pPr>
      <w:bookmarkStart w:id="4" w:name="bookmark4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присутствии представителей от: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2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Крехалевой С.В. (доверенность от 04.05.2023), Фадеева Р.Е. (доверенность от 04.05.2023), Купцова В.Н. (слушатель).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22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6354445</wp:posOffset>
                </wp:positionH>
                <wp:positionV relativeFrom="paragraph">
                  <wp:posOffset>673100</wp:posOffset>
                </wp:positionV>
                <wp:extent cx="707390" cy="20447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73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049992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0.35000000000002pt;margin-top:53.pt;width:55.700000000000003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049992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уведомлен надлежащим образом о времени и месте рассмотрения настоящего дела, своего представителя не направил.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документации»; 163000. г. Архангельск, пл. Ленина, д.4, оф.2; ИНН 2901204236; зак. 30, тир. 10000. 10.11.2022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 в Архангельское УФАС России - уполномоченный федеральный орган исполнительной власти, осуществляющий контроль в сфере закупок, поступила жалоба Индивидуального предпринимателя Тожибаева Захиджона Пазилжоновича (далее - Заявитель) на действия заказчика - Администрации Каргопольского муниципального округа (далее - Заказчик), при проведении открытого конкурса в электронной форме на право заключения муниципального контракта на выполнение проектно - изыскательских работ по объекту "Реконструкция системы водоотведения в г. Каргополе" (извещение №0124600001123000017).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Содержание жалобы: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 соответствующего требованиям ФЗ «О контрактной системе».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04.05.2023.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12.04.2023 Заказчиком на официальном сайте единой информационной системы в сфере закупок в сети Интернет 11Цр://хакирк1.§оу.ги размещено извещение № 0124600001123000017 о проведении открытого конкурса в электронной форме на право заключения муниципального контракта на выполнение проектно - изыскательских работ по объекту "Реконструкция системы водоотведения в г. Каргополе" (далее - Извещение).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муниципального контракта - 6 343 330,00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- АО «Сбербанк-АСТ».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03.05.2023 № 0124600001123000017 электронный конкурс признан несостоявшимся по причине того, что по результатам рассмотрения единственной заявки на участие такая заявка отклонена.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указал, что Заказчиком установлен ненадлежащий порядок оценки заявок на участие в закупке товаров, работ, услуг, нарушающий требования пункта 28 Постановления Правительства РФ от 31.12.2021 № 2604.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11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данным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 части 2 статьи 42 ФЗ «О контрактной системе» извещение об осуществлении закупки должно содержать электронный документ: порядок рассмотрения и оценки заявок на участие в конкурсах в соответствии с указанным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«4» части 1 статьи 32 ФЗ «О контрактной системе» установлено, что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3" w:right="764" w:bottom="765" w:left="119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8 статьи 32 ФЗ «О контрактной системе»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данной статьи.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31.12.2021 №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Федерации" утверждено «Положение об оценке заявок на участие в закупке товаров, работ, услуг для обеспечения государственных и муниципальных нужд» (далее - Положение), в котором установлен порядок оценки заявок на участие в закупке товаров, работ, услуг для обеспечения государственных и муниципальных нужд, предельные величины значимости критериев оценки заявок, а также требования к форме документа, предусмотренного пунктом 4 части 2 статьи 42 ФЗ «О контрактной системе», согласно приложению № 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«в» пункта 24 данного Положения установлено, что для оценки заявок по критерию оценки "квалификация участников закупки" может применяться, если иное не предусмотрено данным Положением, показатель оценки - наличие у участников закупки опыта поставки товара, выполнения работы, оказания услуги, связанного с предметом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25 Положения, для оценки заявок по показателям оценки, предусмотренным пунктом 24 указанного Положения, применяются детализирующие показатели.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статьей 28 Положения в случае применения показателя оценки, предусмотренного подпунктом "в" пункта 24 указанного Положения: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«а)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заявок по детализирующим показателям, предусмотренным подпунктом "а" настоящего пункта, осуществляется в порядке, установленном пунктами 20 и 21 данного Положения, применение шкалы оценки не допускается;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документом, предусмотренным приложением № 1 к настоящему Положению: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указанного пункта, должен быть подписан не ранее чем за 5 лет до даты окончания срока подачи заявок;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документы, предусмотренные абзацем третьим подпункта "в" данного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данного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9173" w:val="left"/>
        </w:tabs>
        <w:bidi w:val="0"/>
        <w:spacing w:before="0" w:after="0" w:line="31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ab/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 xml:space="preserve">Д4/5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выше документы должны быть представлены в заявке участника закупки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 № 2369 и признании утратившими силу некоторых актов и отдельных положений некоторых актов Правительства Российской Федерации».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объектом закупки (предметом контракта) является выполнение проектно - изыскательских работ по объекту "Реконструкция системы водоотведения в г. Каргополе".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Файл «Порядок рассмотрения и оценки заявок», являющийся неотъемлемой частью Извещения, содержит таблицу, в которой установлены критерии и показатели оценки заявок на участие в закупке. В пункте 2.1.1 данной таблицы по детализирующему показателю «Общее количество исполненных участником закупки договоров» установлено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«Лучшим является наибольшее значение детализирующего показателя.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исключительно исполненные участником закупки с учетом правопреемства (в случае наличия в заявке подтверждающего документа) договоры (контракты), на выполнение аналогичных предмету закупки работ, сведения о которых содержатся в реестре контрактов (размещенных в ЕИС), заключенных в соответствии с Федеральным законом от 05 апреля 2013 года № 44-ФЗ, либо в реестре договоров, заключенных по результатам закупок в соответствии с Федеральным законом от 18 июля 2011 года № 223-ФЗ.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 представляет в качестве подтверждения наличия у него опыта выполнения работ, аналогичных предмету контракта, следующие документы: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 (контракт);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(акты) приемки выполненных работ, составленные при исполнении такого договора (контракта), при этом последний акт, составленный при исполнении договора (контракта), должен быть подписан не ранее чем за 5 лет до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исключительно исполненные договоры (контракты), при исполнении которых поставщиком (подрядчиком, исполнителем) исполнены требования об уплате неустоек (штрафов, пеней) (в случае начисления неустоек);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исполненные участником закупки с учетом правопреемства (в случае наличия в заявке подтверждающего документа) договоры (контракты) сведения о которых содержатся в реестре контрактов (размещенных в ЕИС), заключенных в соответствии с Федеральным законом от 05 апреля 2013 года № 44-ФЗ, либо в реестре договоров, заключенных по результатам закупок в соответствии с Федеральным законом от 18 июля 2011 года № 223- ФЗ, при этом: аналогичными предмету закупки работами (объектами-аналогами) считаются следующие работы (услуги):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1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проектные (проектно-изыскательские) работы по разработке проектной документации на строительство и (или) реконструкцию наружных инженерных сетей.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выше документы должны быть представлены в заявке участника закупки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из оценки опыта участников закупки Заказчиком исключен опыт выполнения участником закупки с учетом правопреемства (в случае наличия в заявке подтверждающего документа) гражданско-правовых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отмечает, что перечень договоров, указанный в подпункте «д» пункта 28 Положения, является закрытым и изменению не подлежит.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порядок оценки заявок по показателю критерия «Наличие у участника закупки опыта работы, связанного с предметом контракта» установлен Заказчиком не в соответствии с подпунктом «д» пункта 28 Положения.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/>
        <w:ind w:left="0" w:right="0" w:firstLine="72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пункт 4 части 2 статьи 42 ФЗ «О контрактной системе».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указанных действиях Заказчика содержатся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 (далее - КоАП РФ).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иных нарушений законодательства РФ о контрактной системе не выявлено.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Тожибаева Захиджона Пазилжоновича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- Администрацию Каргопольского муниципального округа, нарушившим пункт 4 части 2 статьи 42 ФЗ «О контрактной системе».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24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- АО «Сбербанк-АСТ», предписание об устранении выявленных нарушений ФЗ «О контрактной системе» не выдавать в связи с тем, что открытый конкурс в электронной форме не состоялся.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10"/>
          <w:headerReference w:type="even" r:id="rId11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3" w:right="764" w:bottom="765" w:left="119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ru-RU" w:eastAsia="ru-RU" w:bidi="ru-RU"/>
        </w:rPr>
        <w:t>Примечание,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16"/>
        <w:keepNext/>
        <w:keepLines/>
        <w:framePr w:w="2659" w:h="278" w:wrap="none" w:vAnchor="text" w:hAnchor="page" w:x="1396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  <w:bookmarkEnd w:id="12"/>
    </w:p>
    <w:p>
      <w:pPr>
        <w:pStyle w:val="Style16"/>
        <w:keepNext/>
        <w:keepLines/>
        <w:framePr w:w="1910" w:h="274" w:wrap="none" w:vAnchor="text" w:hAnchor="page" w:x="1396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  <w:bookmarkEnd w:id="14"/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3881755</wp:posOffset>
            </wp:positionH>
            <wp:positionV relativeFrom="paragraph">
              <wp:posOffset>12700</wp:posOffset>
            </wp:positionV>
            <wp:extent cx="3054350" cy="14262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054350" cy="1426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10" w:right="956" w:bottom="910" w:left="13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363220</wp:posOffset>
              </wp:positionV>
              <wp:extent cx="6050280" cy="14033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0280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02/5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.799999999999997pt;margin-top:28.600000000000001pt;width:476.40000000000003pt;height:11.05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u w:val="single"/>
                        <w:shd w:val="clear" w:color="auto" w:fill="auto"/>
                        <w:lang w:val="ru-RU" w:eastAsia="ru-RU" w:bidi="ru-RU"/>
                      </w:rPr>
                      <w:t>02/5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488315</wp:posOffset>
              </wp:positionV>
              <wp:extent cx="607441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44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99999999999997pt;margin-top:38.450000000000003pt;width:478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363220</wp:posOffset>
              </wp:positionV>
              <wp:extent cx="6050280" cy="14033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0280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02/5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7.799999999999997pt;margin-top:28.600000000000001pt;width:476.40000000000003pt;height:11.05000000000000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u w:val="single"/>
                        <w:shd w:val="clear" w:color="auto" w:fill="auto"/>
                        <w:lang w:val="ru-RU" w:eastAsia="ru-RU" w:bidi="ru-RU"/>
                      </w:rPr>
                      <w:t>02/5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488315</wp:posOffset>
              </wp:positionV>
              <wp:extent cx="607441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44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99999999999997pt;margin-top:38.450000000000003pt;width:478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6693535</wp:posOffset>
              </wp:positionH>
              <wp:positionV relativeFrom="page">
                <wp:posOffset>396875</wp:posOffset>
              </wp:positionV>
              <wp:extent cx="21653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®</w:t>
                          </w:r>
                          <w:fldSimple w:instr=" PAGE \* MERGEFORMAT "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27.04999999999995pt;margin-top:31.25pt;width:17.0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®</w:t>
                    </w:r>
                    <w:fldSimple w:instr=" PAGE \* MERGEFORMAT "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850265</wp:posOffset>
              </wp:positionH>
              <wp:positionV relativeFrom="page">
                <wp:posOffset>535305</wp:posOffset>
              </wp:positionV>
              <wp:extent cx="6087110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71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950000000000003pt;margin-top:42.149999999999999pt;width:479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Cambria" w:eastAsia="Cambria" w:hAnsi="Cambria" w:cs="Cambria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3">
    <w:name w:val="Колонтитул (2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280" w:line="262" w:lineRule="auto"/>
      <w:jc w:val="center"/>
    </w:pPr>
    <w:rPr>
      <w:rFonts w:ascii="Cambria" w:eastAsia="Cambria" w:hAnsi="Cambria" w:cs="Cambria"/>
      <w:b/>
      <w:bCs/>
      <w:i w:val="0"/>
      <w:iCs w:val="0"/>
      <w:smallCaps w:val="0"/>
      <w:strike w:val="0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120" w:line="259" w:lineRule="auto"/>
      <w:ind w:firstLine="1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2">
    <w:name w:val="Колонтитул (2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/Relationships>
</file>