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3221" w:h="922" w:wrap="none" w:hAnchor="page" w:x="1602" w:y="961"/>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framePr w:w="3221" w:h="922" w:wrap="none" w:hAnchor="page" w:x="1602" w:y="961"/>
        <w:widowControl w:val="0"/>
        <w:shd w:val="clear" w:color="auto" w:fill="auto"/>
        <w:bidi w:val="0"/>
        <w:spacing w:before="0" w:after="0" w:line="259"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framePr w:w="3773" w:h="1718" w:wrap="none" w:hAnchor="page" w:x="1333" w:y="2084"/>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framePr w:w="3773" w:h="1718" w:wrap="none" w:hAnchor="page" w:x="1333" w:y="2084"/>
        <w:widowControl w:val="0"/>
        <w:shd w:val="clear" w:color="auto" w:fill="auto"/>
        <w:bidi w:val="0"/>
        <w:spacing w:before="0" w:after="14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1о77@Га8.еоу.п1</w:t>
      </w:r>
    </w:p>
    <w:p>
      <w:pPr>
        <w:pStyle w:val="Style6"/>
        <w:keepNext w:val="0"/>
        <w:keepLines w:val="0"/>
        <w:framePr w:w="3773" w:h="1718" w:wrap="none" w:hAnchor="page" w:x="1333" w:y="2084"/>
        <w:widowControl w:val="0"/>
        <w:pBdr>
          <w:bottom w:val="single" w:sz="4" w:space="0" w:color="auto"/>
        </w:pBdr>
        <w:shd w:val="clear" w:color="auto" w:fill="auto"/>
        <w:bidi w:val="0"/>
        <w:spacing w:before="0" w:after="0"/>
        <w:ind w:left="0" w:right="0" w:firstLine="0"/>
        <w:jc w:val="center"/>
      </w:pPr>
      <w:r>
        <w:rPr>
          <w:spacing w:val="0"/>
          <w:w w:val="100"/>
          <w:position w:val="0"/>
          <w:shd w:val="clear" w:color="auto" w:fill="auto"/>
          <w:lang w:val="ru-RU" w:eastAsia="ru-RU" w:bidi="ru-RU"/>
        </w:rPr>
        <w:t>штамп</w:t>
        <w:br/>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r>
      <w:r>
        <w:fldChar w:fldCharType="end"/>
      </w:r>
    </w:p>
    <w:p>
      <w:pPr>
        <w:pStyle w:val="Style2"/>
        <w:keepNext w:val="0"/>
        <w:keepLines w:val="0"/>
        <w:framePr w:w="4061" w:h="254" w:wrap="none" w:hAnchor="page" w:x="1141" w:y="411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w:t>
      </w:r>
    </w:p>
    <w:p>
      <w:pPr>
        <w:pStyle w:val="Style8"/>
        <w:keepNext w:val="0"/>
        <w:keepLines w:val="0"/>
        <w:framePr w:w="4454" w:h="3509" w:wrap="none" w:hAnchor="page" w:x="6406" w:y="865"/>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ИП Тожибаев З.П.</w:t>
      </w:r>
    </w:p>
    <w:p>
      <w:pPr>
        <w:pStyle w:val="Style8"/>
        <w:keepNext w:val="0"/>
        <w:keepLines w:val="0"/>
        <w:framePr w:w="4454" w:h="3509" w:wrap="none" w:hAnchor="page" w:x="6406" w:y="865"/>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^р.xаЫ^xЪоп@дта^1.сот</w:t>
      </w:r>
    </w:p>
    <w:p>
      <w:pPr>
        <w:pStyle w:val="Style8"/>
        <w:keepNext w:val="0"/>
        <w:keepLines w:val="0"/>
        <w:framePr w:w="4454" w:h="3509" w:wrap="none" w:hAnchor="page" w:x="6406" w:y="865"/>
        <w:widowControl w:val="0"/>
        <w:shd w:val="clear" w:color="auto" w:fill="auto"/>
        <w:bidi w:val="0"/>
        <w:spacing w:before="0" w:after="0" w:line="211" w:lineRule="auto"/>
        <w:ind w:left="0" w:right="0" w:firstLine="0"/>
        <w:jc w:val="left"/>
      </w:pPr>
      <w:r>
        <w:rPr>
          <w:color w:val="000000"/>
          <w:spacing w:val="0"/>
          <w:w w:val="100"/>
          <w:position w:val="0"/>
          <w:shd w:val="clear" w:color="auto" w:fill="auto"/>
          <w:lang w:val="ru-RU" w:eastAsia="ru-RU" w:bidi="ru-RU"/>
        </w:rPr>
        <w:t>ГБУЗ «ГКБ № 31 им. академика Г.М.</w:t>
      </w:r>
    </w:p>
    <w:p>
      <w:pPr>
        <w:pStyle w:val="Style8"/>
        <w:keepNext w:val="0"/>
        <w:keepLines w:val="0"/>
        <w:framePr w:w="4454" w:h="3509" w:wrap="none" w:hAnchor="page" w:x="6406" w:y="865"/>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Савельевой ДЗМ»</w:t>
      </w:r>
    </w:p>
    <w:p>
      <w:pPr>
        <w:pStyle w:val="Style8"/>
        <w:keepNext w:val="0"/>
        <w:keepLines w:val="0"/>
        <w:framePr w:w="4454" w:h="3509" w:wrap="none" w:hAnchor="page" w:x="6406" w:y="865"/>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дкЪ31.246@тай.ги</w:t>
      </w:r>
    </w:p>
    <w:p>
      <w:pPr>
        <w:pStyle w:val="Style8"/>
        <w:keepNext w:val="0"/>
        <w:keepLines w:val="0"/>
        <w:framePr w:w="4454" w:h="3509" w:wrap="none" w:hAnchor="page" w:x="6406" w:y="865"/>
        <w:widowControl w:val="0"/>
        <w:shd w:val="clear" w:color="auto" w:fill="auto"/>
        <w:bidi w:val="0"/>
        <w:spacing w:before="0" w:after="0" w:line="211" w:lineRule="auto"/>
        <w:ind w:left="0" w:right="0" w:firstLine="0"/>
        <w:jc w:val="left"/>
      </w:pPr>
      <w:r>
        <w:rPr>
          <w:color w:val="000000"/>
          <w:spacing w:val="0"/>
          <w:w w:val="100"/>
          <w:position w:val="0"/>
          <w:shd w:val="clear" w:color="auto" w:fill="auto"/>
          <w:lang w:val="ru-RU" w:eastAsia="ru-RU" w:bidi="ru-RU"/>
        </w:rPr>
        <w:t>АО «Единая электронная торговая площадка»</w:t>
      </w:r>
    </w:p>
    <w:p>
      <w:pPr>
        <w:pStyle w:val="Style8"/>
        <w:keepNext w:val="0"/>
        <w:keepLines w:val="0"/>
        <w:framePr w:w="4454" w:h="3509" w:wrap="none" w:hAnchor="page" w:x="6406" w:y="865"/>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ко@го8екогд.ги</w:t>
      </w:r>
    </w:p>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12"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298" w:right="541" w:bottom="1327" w:left="1106"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80" w:right="0" w:bottom="966" w:left="0" w:header="0" w:footer="3" w:gutter="0"/>
          <w:cols w:space="720"/>
          <w:noEndnote/>
          <w:rtlGutter w:val="0"/>
          <w:docGrid w:linePitch="360"/>
        </w:sectPr>
      </w:pPr>
    </w:p>
    <w:p>
      <w:pPr>
        <w:pStyle w:val="Style8"/>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№077/06/106-АК11/2023 о нарушении</w:t>
        <w:br/>
        <w:t>законодательства о контрактной системе</w:t>
        <w:br/>
        <w:t>04.05.2023</w:t>
        <w:tab/>
        <w:t>г. Москва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8"/>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 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представителя ГБУЗ «ГКБ № 31 им. академика Г.М. Савельевой ДЗМ»: Карнауховой Ж.А. (по доверенности от 24.01.2023 №б/н),</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Тожибаев З.П., о времени и порядке заседания Комиссии Управления уведомленных надлежащим образом,</w:t>
      </w:r>
    </w:p>
    <w:p>
      <w:pPr>
        <w:pStyle w:val="Style8"/>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 xml:space="preserve">рассмотрев жалобу ИП Тожибаев З.П. (далее — Заявитель) на действия ГБУЗ «ГКБ № 31 им. академика Г.М. Савельевой ДЗМ» (далее — Заказчик) при проведении электронного аукциона на право заключения государственного контракта на оказание услуг по ремонту аппарата мобильного хирургического рентгеновского &amp;етеп8 МоЪйеН М1га (инв. № 410124049659, зав. № 2501) для нужд ГБУЗ «ГКБ № 31 им. академика Г.М. Савельевой ДЗМ» (Закупка №0373200025623000194) (далее - аукцион) в соответствии с Федеральным законом </w:t>
      </w:r>
      <w:r>
        <w:rPr>
          <w:color w:val="000000"/>
          <w:spacing w:val="0"/>
          <w:w w:val="100"/>
          <w:position w:val="0"/>
          <w:shd w:val="clear" w:color="auto" w:fill="auto"/>
          <w:lang w:val="ru-RU" w:eastAsia="ru-RU" w:bidi="ru-RU"/>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8"/>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8"/>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Согласно доводам жалобы Заказчиком неправомерно не установлены дополнительные требования к участникам закупки, предусмотренные поз. 32 Приложения к постановлению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Комиссией Управления установлено, что в соответствии с извещением о проведении электронного аукциона от 24.06.2022 №0373100078722000179 объектом закупки является оказание услуг по ремонту аппарата мобильного хирургического рентгеновского &amp;етеп§ МоЪйеН М^а (инв. № 410124049659, зав. № 2501) для нужд ГБУЗ «ГКБ № 31 им. академика Г.М. Савельевой ДЗМ», при этом начальная (максимальная) цена контракта 12 707 585,33 рублей.</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8"/>
        <w:keepNext w:val="0"/>
        <w:keepLines w:val="0"/>
        <w:widowControl w:val="0"/>
        <w:numPr>
          <w:ilvl w:val="0"/>
          <w:numId w:val="1"/>
        </w:numPr>
        <w:shd w:val="clear" w:color="auto" w:fill="auto"/>
        <w:tabs>
          <w:tab w:pos="1056" w:val="left"/>
        </w:tabs>
        <w:bidi w:val="0"/>
        <w:spacing w:before="0" w:after="0" w:line="240" w:lineRule="auto"/>
        <w:ind w:left="0" w:right="0" w:firstLine="700"/>
        <w:jc w:val="both"/>
      </w:pPr>
      <w:r>
        <w:rPr>
          <w:spacing w:val="0"/>
          <w:w w:val="100"/>
          <w:position w:val="0"/>
          <w:shd w:val="clear" w:color="auto" w:fill="auto"/>
          <w:lang w:val="ru-RU" w:eastAsia="ru-RU" w:bidi="ru-RU"/>
        </w:rPr>
        <w:t>финансовых ресурсов для исполнения контракта;</w:t>
      </w:r>
    </w:p>
    <w:p>
      <w:pPr>
        <w:pStyle w:val="Style8"/>
        <w:keepNext w:val="0"/>
        <w:keepLines w:val="0"/>
        <w:widowControl w:val="0"/>
        <w:numPr>
          <w:ilvl w:val="0"/>
          <w:numId w:val="1"/>
        </w:numPr>
        <w:shd w:val="clear" w:color="auto" w:fill="auto"/>
        <w:tabs>
          <w:tab w:pos="1057" w:val="left"/>
        </w:tabs>
        <w:bidi w:val="0"/>
        <w:spacing w:before="0" w:after="0" w:line="240" w:lineRule="auto"/>
        <w:ind w:left="0" w:right="0" w:firstLine="700"/>
        <w:jc w:val="both"/>
      </w:pPr>
      <w:r>
        <w:rPr>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8"/>
        <w:keepNext w:val="0"/>
        <w:keepLines w:val="0"/>
        <w:widowControl w:val="0"/>
        <w:numPr>
          <w:ilvl w:val="0"/>
          <w:numId w:val="1"/>
        </w:numPr>
        <w:shd w:val="clear" w:color="auto" w:fill="auto"/>
        <w:tabs>
          <w:tab w:pos="1075" w:val="left"/>
        </w:tabs>
        <w:bidi w:val="0"/>
        <w:spacing w:before="0" w:after="0" w:line="240" w:lineRule="auto"/>
        <w:ind w:left="0" w:right="0" w:firstLine="700"/>
        <w:jc w:val="both"/>
      </w:pPr>
      <w:r>
        <w:rPr>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8"/>
        <w:keepNext w:val="0"/>
        <w:keepLines w:val="0"/>
        <w:widowControl w:val="0"/>
        <w:numPr>
          <w:ilvl w:val="0"/>
          <w:numId w:val="1"/>
        </w:numPr>
        <w:shd w:val="clear" w:color="auto" w:fill="auto"/>
        <w:tabs>
          <w:tab w:pos="1062" w:val="left"/>
        </w:tabs>
        <w:bidi w:val="0"/>
        <w:spacing w:before="0" w:after="280" w:line="240" w:lineRule="auto"/>
        <w:ind w:left="0" w:right="0" w:firstLine="700"/>
        <w:jc w:val="both"/>
      </w:pPr>
      <w:r>
        <w:rPr>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системе, устанавливается Правительством Российской Федерации, в данном конкретном случае в соответствии с постановление № 2571.</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 силу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Дополнительные требования к участникам закупки отдельных видов товаров, работ, услуг для обеспечения государственных и муниципальных нужд утверждены постановлением № 2571. При этом соответствие участников закупки указанным требованиям подтверждается информацией и документами, предусмотренными Приложением к постановлению № 2571.</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 xml:space="preserve">Согласно п. 32 Приложения к постановлению № 2571 при проведении конкурентных процедур на выполнение работ по техническому обслуживанию (монтаж и наладка; контроль технического состояния; периодическое и текущее техническое обслуживание; </w:t>
      </w:r>
      <w:r>
        <w:rPr>
          <w:b/>
          <w:bCs/>
          <w:i/>
          <w:iCs/>
          <w:spacing w:val="0"/>
          <w:w w:val="100"/>
          <w:position w:val="0"/>
          <w:shd w:val="clear" w:color="auto" w:fill="auto"/>
          <w:lang w:val="ru-RU" w:eastAsia="ru-RU" w:bidi="ru-RU"/>
        </w:rPr>
        <w:t>ремонт</w:t>
      </w:r>
      <w:r>
        <w:rPr>
          <w:spacing w:val="0"/>
          <w:w w:val="100"/>
          <w:position w:val="0"/>
          <w:shd w:val="clear" w:color="auto" w:fill="auto"/>
          <w:lang w:val="ru-RU" w:eastAsia="ru-RU" w:bidi="ru-RU"/>
        </w:rPr>
        <w:t>) медицинской техники, включенной в коды 26.60.11, 26.60.12, 26.60.13.130, 26.70.22.150, 32.50.12, 32.50.21.121, 32.50.21.122 Общероссийского классификатора продукции по видам экономической деятельности (ОКПД2) ОК 034-2014 к участникам закупки устанавливаются дополнительные требования о наличие опыта исполнения участником закупки договора, предусматривающего выполнение работ по техническому обслуживанию медицинской техники, при этом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При этом соответствие участников закупки указанным требованиям подтверждается представлением в составе заявки: 1) исполненный договор; 2) акт выполненных работ, подтверждающий цену выполненных работ.</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Не согласившись с доводами жалобы представитель Заказчика пояснил, что Заказчиком при описании объекта закупки использована позиция СПГЗ «Ремонт медицинского оборудования», которая относится к коду ОКПД2 33.12.29.900 «Услуги по ремонту и техническому обслуживанию прочего оборудования специального назначения, не включенные в другие группировки», что подтверждает правомерность неустановления дополнительных требований к участникам закупки.</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Таким образом, объектом рассматриваемой закупки является ремонт аппарата мобильного хирургического рентгеновского &amp;етеп§ МоЪйеИ М^а (инв.</w:t>
      </w:r>
    </w:p>
    <w:p>
      <w:pPr>
        <w:pStyle w:val="Style8"/>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№410124049659, зав. № 2501), в то время как п. 32 Приложения, по мнению Заказчика, применяется в случае закупки на выполнение работ по техническому обслуживанию (монтаж и наладка; контроль технического состояния; периодическое и текущее техническое обслуживание).</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Вместе с тем Комиссия Управления отмечает, что, наряду с изложенным, п. 32 Приложения содержит также уточнение, которое предусматривает установление дополнительных требований к участникам закупок при выполнении работ по ремонту медицинской техники.</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В ходе заседания Комиссии Управления, с учетом пояснений представителя Заказчика, установлено, что ремонту подлежит медицинское оборудование, соответствующее коду ОКПД2: 26.60.11.110, который, в свою очередь, включен в п. 32 Приложения.</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При этом, в соответствии с пп. «а» п. 3 Постановления №2571, п.32 приложения применяется в случае, если при осуществлении закупки начальная (максимальная) цена контракта превышает 10 млн рублей.</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Таким образом, предметом закупки является выполнение работ по ремонту медицинской техники, включенной в коды 26.60.11, 26.60.12, 26.60.13.130, 26.70.22.150, 32.50.12, 32.50.21.121, 32.50.21.122 ОКПД2, с начальной (максимальной) ценой контракта 12 707 585,33 рублей.</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На основании вышеизложенного, Комиссия Управления приходит к выводу, что Заказчику надлежало установить дополнительное требование к участникам закупки, предусмотренное п.32 Приложения, с представлением участником закупки необходимых документов.</w:t>
      </w:r>
    </w:p>
    <w:p>
      <w:pPr>
        <w:pStyle w:val="Style8"/>
        <w:keepNext w:val="0"/>
        <w:keepLines w:val="0"/>
        <w:widowControl w:val="0"/>
        <w:shd w:val="clear" w:color="auto" w:fill="auto"/>
        <w:bidi w:val="0"/>
        <w:spacing w:before="0" w:after="0" w:line="240" w:lineRule="auto"/>
        <w:ind w:left="0" w:right="0" w:firstLine="700"/>
        <w:jc w:val="both"/>
      </w:pPr>
      <w:r>
        <w:rPr>
          <w:spacing w:val="0"/>
          <w:w w:val="100"/>
          <w:position w:val="0"/>
          <w:shd w:val="clear" w:color="auto" w:fill="auto"/>
          <w:lang w:val="ru-RU" w:eastAsia="ru-RU" w:bidi="ru-RU"/>
        </w:rPr>
        <w:t>Данная позиция также отражена в письме Минфина России от 19.12.2022 №24-06-06/124503 «Об установлении дополнительных требований к участникам закупок работ по ремонту медицинской техники о наличии опыта и его подтверждении».</w:t>
      </w:r>
    </w:p>
    <w:p>
      <w:pPr>
        <w:pStyle w:val="Style8"/>
        <w:keepNext w:val="0"/>
        <w:keepLines w:val="0"/>
        <w:widowControl w:val="0"/>
        <w:shd w:val="clear" w:color="auto" w:fill="auto"/>
        <w:tabs>
          <w:tab w:pos="989" w:val="left"/>
        </w:tabs>
        <w:bidi w:val="0"/>
        <w:spacing w:before="0" w:after="0" w:line="240" w:lineRule="auto"/>
        <w:ind w:left="0" w:right="0" w:firstLine="700"/>
        <w:jc w:val="both"/>
      </w:pPr>
      <w:r>
        <w:rPr>
          <w:spacing w:val="0"/>
          <w:w w:val="100"/>
          <w:position w:val="0"/>
          <w:shd w:val="clear" w:color="auto" w:fill="auto"/>
          <w:lang w:val="ru-RU" w:eastAsia="ru-RU" w:bidi="ru-RU"/>
        </w:rPr>
        <w:t>Таким образом, Комиссия Управления приходит к выводу о нарушении Заказчика ч.4 ст.31, п.12 ч.1 ст.42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ч.1.4</w:t>
        <w:tab/>
        <w:t>ст.7.30 Кодекса Российской Федерации об административных</w:t>
      </w:r>
    </w:p>
    <w:p>
      <w:pPr>
        <w:pStyle w:val="Style8"/>
        <w:keepNext w:val="0"/>
        <w:keepLines w:val="0"/>
        <w:widowControl w:val="0"/>
        <w:shd w:val="clear" w:color="auto" w:fill="auto"/>
        <w:bidi w:val="0"/>
        <w:spacing w:before="0" w:after="0" w:line="240" w:lineRule="auto"/>
        <w:ind w:left="0" w:right="0" w:firstLine="0"/>
        <w:jc w:val="both"/>
      </w:pPr>
      <w:r>
        <w:rPr>
          <w:spacing w:val="0"/>
          <w:w w:val="100"/>
          <w:position w:val="0"/>
          <w:shd w:val="clear" w:color="auto" w:fill="auto"/>
          <w:lang w:val="ru-RU" w:eastAsia="ru-RU" w:bidi="ru-RU"/>
        </w:rPr>
        <w:t>правонарушениях.</w:t>
      </w:r>
    </w:p>
    <w:p>
      <w:pPr>
        <w:pStyle w:val="Style8"/>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980" w:right="544" w:bottom="966" w:left="1103"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8"/>
        <w:keepNext w:val="0"/>
        <w:keepLines w:val="0"/>
        <w:widowControl w:val="0"/>
        <w:numPr>
          <w:ilvl w:val="0"/>
          <w:numId w:val="3"/>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Тожибаев З.П. на действия ГБУЗ «ГКБ № 31 им. академика Г.М. Савельевой ДЗМ» обоснованной.</w:t>
      </w:r>
    </w:p>
    <w:p>
      <w:pPr>
        <w:pStyle w:val="Style8"/>
        <w:keepNext w:val="0"/>
        <w:keepLines w:val="0"/>
        <w:widowControl w:val="0"/>
        <w:numPr>
          <w:ilvl w:val="0"/>
          <w:numId w:val="3"/>
        </w:numPr>
        <w:shd w:val="clear" w:color="auto" w:fill="auto"/>
        <w:tabs>
          <w:tab w:pos="108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нарушения ч.4 ст.31, п.12 ч.1 ст.42 Закона о контрактной системе.</w:t>
      </w:r>
    </w:p>
    <w:p>
      <w:pPr>
        <w:pStyle w:val="Style8"/>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8"/>
        <w:keepNext w:val="0"/>
        <w:keepLines w:val="0"/>
        <w:widowControl w:val="0"/>
        <w:numPr>
          <w:ilvl w:val="0"/>
          <w:numId w:val="3"/>
        </w:numPr>
        <w:shd w:val="clear" w:color="auto" w:fill="auto"/>
        <w:tabs>
          <w:tab w:pos="1098" w:val="left"/>
        </w:tabs>
        <w:bidi w:val="0"/>
        <w:spacing w:before="0" w:after="240" w:line="240" w:lineRule="auto"/>
        <w:ind w:left="0" w:right="0" w:firstLine="72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8"/>
        <w:keepNext w:val="0"/>
        <w:keepLines w:val="0"/>
        <w:widowControl w:val="0"/>
        <w:shd w:val="clear" w:color="auto" w:fill="auto"/>
        <w:bidi w:val="0"/>
        <w:spacing w:before="0" w:after="82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8"/>
        <w:keepNext w:val="0"/>
        <w:keepLines w:val="0"/>
        <w:widowControl w:val="0"/>
        <w:shd w:val="clear" w:color="auto" w:fill="auto"/>
        <w:bidi w:val="0"/>
        <w:spacing w:before="0" w:after="3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702310</wp:posOffset>
                </wp:positionH>
                <wp:positionV relativeFrom="paragraph">
                  <wp:posOffset>12700</wp:posOffset>
                </wp:positionV>
                <wp:extent cx="1847215" cy="673735"/>
                <wp:wrapSquare wrapText="bothSides"/>
                <wp:docPr id="5" name="Shape 5"/>
                <a:graphic xmlns:a="http://schemas.openxmlformats.org/drawingml/2006/main">
                  <a:graphicData uri="http://schemas.microsoft.com/office/word/2010/wordprocessingShape">
                    <wps:wsp>
                      <wps:cNvSpPr txBox="1"/>
                      <wps:spPr>
                        <a:xfrm>
                          <a:ext cx="1847215" cy="673735"/>
                        </a:xfrm>
                        <a:prstGeom prst="rect"/>
                        <a:noFill/>
                      </wps:spPr>
                      <wps:txbx>
                        <w:txbxContent>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1" type="#_x0000_t202" style="position:absolute;margin-left:55.300000000000004pt;margin-top:1.pt;width:145.45000000000002pt;height:53.050000000000004pt;z-index:-125829375;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Е.А.Миронова</w:t>
      </w:r>
    </w:p>
    <w:p>
      <w:pPr>
        <w:pStyle w:val="Style8"/>
        <w:keepNext w:val="0"/>
        <w:keepLines w:val="0"/>
        <w:widowControl w:val="0"/>
        <w:shd w:val="clear" w:color="auto" w:fill="auto"/>
        <w:bidi w:val="0"/>
        <w:spacing w:before="0" w:after="300" w:line="240" w:lineRule="auto"/>
        <w:ind w:left="0" w:right="0" w:firstLine="0"/>
        <w:jc w:val="right"/>
      </w:pPr>
      <w:r>
        <w:rPr>
          <w:color w:val="000000"/>
          <w:spacing w:val="0"/>
          <w:w w:val="100"/>
          <w:position w:val="0"/>
          <w:shd w:val="clear" w:color="auto" w:fill="auto"/>
          <w:lang w:val="ru-RU" w:eastAsia="ru-RU" w:bidi="ru-RU"/>
        </w:rPr>
        <w:t>А.А. Кутейников</w:t>
      </w:r>
    </w:p>
    <w:p>
      <w:pPr>
        <w:pStyle w:val="Style8"/>
        <w:keepNext w:val="0"/>
        <w:keepLines w:val="0"/>
        <w:widowControl w:val="0"/>
        <w:shd w:val="clear" w:color="auto" w:fill="auto"/>
        <w:bidi w:val="0"/>
        <w:spacing w:before="0" w:after="102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after="30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Кутейников А.А. тел.8(495)784-75-05</w:t>
      </w:r>
    </w:p>
    <w:sectPr>
      <w:footnotePr>
        <w:pos w:val="pageBottom"/>
        <w:numFmt w:val="decimal"/>
        <w:numRestart w:val="continuous"/>
      </w:footnotePr>
      <w:pgSz w:w="11900" w:h="16840"/>
      <w:pgMar w:top="980" w:right="541" w:bottom="980" w:left="11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290195</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22.850000000000001pt;width:5.29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A"/>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7"/>
      <w:sz w:val="19"/>
      <w:szCs w:val="19"/>
      <w:u w:val="none"/>
    </w:rPr>
  </w:style>
  <w:style w:type="character" w:customStyle="1" w:styleId="CharStyle7">
    <w:name w:val="Основной текст (3)_"/>
    <w:basedOn w:val="DefaultParagraphFont"/>
    <w:link w:val="Style6"/>
    <w:rPr>
      <w:rFonts w:ascii="Arial" w:eastAsia="Arial" w:hAnsi="Arial" w:cs="Arial"/>
      <w:b/>
      <w:bCs/>
      <w:i w:val="0"/>
      <w:iCs w:val="0"/>
      <w:smallCaps w:val="0"/>
      <w:strike w:val="0"/>
      <w:color w:val="1D1D1D"/>
      <w:sz w:val="10"/>
      <w:szCs w:val="1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color w:val="00000A"/>
      <w:sz w:val="28"/>
      <w:szCs w:val="28"/>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25FA7"/>
      <w:sz w:val="19"/>
      <w:szCs w:val="19"/>
      <w:u w:val="none"/>
    </w:rPr>
  </w:style>
  <w:style w:type="paragraph" w:customStyle="1" w:styleId="Style6">
    <w:name w:val="Основной текст (3)"/>
    <w:basedOn w:val="Normal"/>
    <w:link w:val="CharStyle7"/>
    <w:pPr>
      <w:widowControl w:val="0"/>
      <w:shd w:val="clear" w:color="auto" w:fill="auto"/>
      <w:spacing w:line="262" w:lineRule="auto"/>
      <w:jc w:val="center"/>
    </w:pPr>
    <w:rPr>
      <w:rFonts w:ascii="Arial" w:eastAsia="Arial" w:hAnsi="Arial" w:cs="Arial"/>
      <w:b/>
      <w:bCs/>
      <w:i w:val="0"/>
      <w:iCs w:val="0"/>
      <w:smallCaps w:val="0"/>
      <w:strike w:val="0"/>
      <w:color w:val="1D1D1D"/>
      <w:sz w:val="10"/>
      <w:szCs w:val="1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color w:val="00000A"/>
      <w:sz w:val="28"/>
      <w:szCs w:val="28"/>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Вопрос: Об установлении дополнительных требований к участникам закупок работ по ремонту медицинской техники о наличии опыта и его подтверждении.(Письмо Минфина России от 19.12.2022 N 24-06-06/124503)</dc:title>
  <dc:subject/>
  <dc:creator/>
  <cp:keywords/>
</cp:coreProperties>
</file>