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@Гак.цо\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КВ/1636/2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«ОКС ЗАТО Александровск» </w:t>
      </w:r>
      <w:r>
        <w:fldChar w:fldCharType="begin"/>
      </w:r>
      <w:r>
        <w:rPr/>
        <w:instrText> HYPERLINK "mailto:oks@zato-a.ru"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ок8@2а1:о-а.ги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Администрация муниципального образования городского округа ЗАТО Александровск, Мурманской области. </w:t>
      </w:r>
      <w:r>
        <w:fldChar w:fldCharType="begin"/>
      </w:r>
      <w:r>
        <w:rPr/>
        <w:instrText> HYPERLINK "mailto:adm@zato-a.ru"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а4т@2а1о-а.ш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1247" w:bottom="1217" w:left="1140" w:header="0" w:footer="3" w:gutter="0"/>
          <w:pgNumType w:start="1"/>
          <w:cols w:num="2" w:space="1008"/>
          <w:noEndnote/>
          <w:rtlGutter w:val="0"/>
          <w:docGrid w:linePitch="360"/>
        </w:sectPr>
      </w:pPr>
      <w:r>
        <w:fldChar w:fldCharType="begin"/>
      </w:r>
      <w:r>
        <w:rPr/>
        <w:instrText> HYPERLINK "mailto:ip.zahidzhon@gmail.com"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1р2аЫ42коп@дта11сот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" w:right="0" w:bottom="12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051/06/106-265/2023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5454015</wp:posOffset>
                </wp:positionH>
                <wp:positionV relativeFrom="paragraph">
                  <wp:posOffset>12700</wp:posOffset>
                </wp:positionV>
                <wp:extent cx="1191895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29.44999999999999pt;margin-top:1.pt;width:93.85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мая 2023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председателя Комиссии Мурманского УФАС России: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Ворониной К.Ф. - заместителя руководителя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Неплюевой А.В.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Конох А.А. - ведущего эксперта отдела рекламы и недобросовестной конкуренции Управления Федеральной антимонопольной службы по Мурманской области, при участии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казенного учреждения «Отдел капитального строительства Александровск» - Гарькавой Людмилы Дмитриевны, Грешниковой Нэлли Петровны (по доверенности),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Заказчика - Администрации муниципального образования городского округа закрытого административно - территориального образования Александровск Мурманской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заявителя - индивидуального предпринимателя, Тожибаева Захиджона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Пазилжоновича, должным образом уведомленного,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Тожибаева Захиджона Пазилжоновича (далее - ИП Тожибаев З.П., Заявитель) на действия уполномоченного органа Заказчика - Муниципального казенного учреждения "Отдел капитального строительства ЗАТО Александровск" (далее - МКУ «ОКС ЗАТО Александровск» уполномоченное лицо), при проведении электронного аукциона на «выполнение работ по устройству оснований под детские площадки на территории ЗАТО Александровск», (извещение №</w:t>
      </w:r>
      <w:r>
        <w:fldChar w:fldCharType="begin"/>
      </w:r>
      <w:r>
        <w:rPr/>
        <w:instrText> HYPERLINK "https://zakupki.gov.ru/epz/order/notice/ea20/view/common-info.html?regNumber=0849300001723000025"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0849300001723000025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20.04.2023 в Единой информационной системе в сфере закупок - \у\у\у./акирк1.доу.ги (далее — ЕИС) размещено извещение о проведении электронного аукциона.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Организация, осуществляющая размещение: МКУ «ОКС ЗАТО Александровск».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 Администрация муниципального образования городского округа закрытое административно - территориальное образование Александровск Мурманской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Выполнение работ по устройству оснований под детские площадки на территории ЗАТО Александровск.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5 386 860,23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Заказчиком не установлены дополнительные требования к участникам закупки в извещении о проведении электронного аукциона.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уполномоченного органа Заказчика с жалобой не согласны.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Заявителя рассмотрена дистанционно 04 мая 2023 года в 14 часов 30 минут посредством сервиса веб-видеоконференцсвязи.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документы, заслушав представителей уполномоченного органа,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закупки, приложенного к извещению о проведении электронного аукциона, участнику закупки необходимо выполнить работы по устройству оснований под детские площадки на территории ЗАТО Александровск.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Позицией 9 Приложения к Постановлению Правительства РФ от 29.12.2021 № 2571 «О дополнительных требованиях к участникам закупки отдельных видов, товаров, работ, услуг для обеспечения государственных и муниципальных нужд, а также об информации,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актов Правительства Российской Федерации» установлено, что в случае осуществления закупки по строительству некапитального строения, сооружения (строений, сооружений), благоустройству территории устанавливаются дополнительные требования на наличие у участника закупки следующего опыта выполнения работ: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том числе линейного объекта);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том числе линейного объекта).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Цена выполненных работ по договорам, предусмотренных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или 2 настоящей графы настоящей позиции, цена выполненных работ, предусмотренных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Постановления Правительства РФ от 29.12.2021 ^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извещение о проведении электронного аукциона не содержит дополнительные требования к участникам закупки в соответствии с Постановлением 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36 статьи 1 Градостроительного кодекса Российской Федерации, благоустройство территории - это комплекс мероприятий по инженерной подготовке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обеспечению безопасности, озеленению, устройству покрытий, освещению, размещению малых архитектурных форм и объектов монументального искусства. В рамках благоустройства территории могут проводиться следующие работы: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территории от грязи, мусора, снега, льда, их вывоз и утилизация;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озеленение (разбивка газонов, цветников, клумб, посадка саженцев);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ремонт тротуаров (асфальтирование, укладка тротуарной плитки);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возведение различных видов ограждений, установка беседок, скамеек, фонтанов, различных архитектурных форм, фонарей уличного освещения;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элементов внешнего благоустройства зданий и сооружений, объектов инженерной инфраструктуры;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обустройство игровых, детских, спортивных, танцевальных площадок;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Заказчика, Объявленная закупка предполагает заключение муниципального контракта, предметом которого является подготовка основания для возможного устройства покрытия и установки конструктивов детских и спортивных площадок. Подготовка основания - выполнение планировочных работ выбранной территории. Результатом работ будет являться наличие выровненного уплотненного участка земли, что нельзя рассматривать как благоустройство территории.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Однако, в описании объекта Закупки (техническом задании) в ведомости объемов работ по устройству основания детской площадки расположенной по адресу 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Гаджиево, ул. наб.С. Преминина, д.119, ЗАТО Александровск указаны следующие виды работ:</w:t>
      </w:r>
    </w:p>
    <w:tbl>
      <w:tblPr>
        <w:tblOverlap w:val="never"/>
        <w:jc w:val="center"/>
        <w:tblLayout w:type="fixed"/>
      </w:tblPr>
      <w:tblGrid>
        <w:gridCol w:w="576"/>
        <w:gridCol w:w="6802"/>
        <w:gridCol w:w="1301"/>
        <w:gridCol w:w="1118"/>
      </w:tblGrid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работ и затрат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Единицы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 тво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Демонтаж металлических пешеходных ограждений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36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Демонтаж оборудования массой оборудования 0,1 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Демонтаж оборудования массой оборудования 0,03 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Планировка площадей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320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Разработка грунта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160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Уплотнение грунта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48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прослойки из нетканого синтетического материала (НСМ) в земляном полотне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320</w:t>
            </w:r>
          </w:p>
        </w:tc>
      </w:tr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подстилающих и выравнивающих слоев оснований из щебня фракции 20-40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320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подстилающих и выравнивающих слоев оснований из щебня фракции 5-20 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76"/>
        <w:gridCol w:w="6802"/>
        <w:gridCol w:w="1301"/>
        <w:gridCol w:w="1118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Установка бортовых камней бетонных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металлических пешеходных ограждений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36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Копание 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0,18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Демонтаж опоры информационной табличкой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Установка опоры информационной табличкой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так же есть и другие ведомости с аналогичными видами работ по устройству основания детских площадок, расположенных по адресам: г. Снежногорск, ул. Павла - Стеблина, дом 33, ЗАТО Александровск; г. Полярный, ул. Красный Горн, дома 25-26, ЗАТО Александровск; г. Полярный, ул. Красный Горн, дома 23, ЗАТО Александровск. Ведомость объёмов работ по устройству основания детской площадки и скейт - площадки расположенной по адресу: г. Гаджиево, ул. Душенова, д. 91-95, ЗАТО Александровск.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включенные в указанную ведомость виды работ - являются работами по благоустройству.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Мурманского УФАС приходит к выводу, что уполномоченным лицом - МКУ «ОКС ЗАТО Александровск», нарушены требования части 4 статьи 31 Закона о контрактной системе, а именно, неправомерно не установлены дополнительные требования к участнику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Мурманского УФАС установлено, что на участие в закупке № 0849300001723000025 поданы две заявки.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(подрядчика, исполнителя) победителем аукциона признается участник закупки с идентификационным номером заявки - 3, заявка на участие в закупке которого соответствует требованиям, установленным в извещении об осуществлении закупки, и которая поступила ранее других заявок, и предложивший наименьшую цену контракта в размере 5 359 925,93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МКУ «ОКС ЗАТО Александровск» пояснили, что подрядчик является надежным и соответствует дополнительным требованиям в виде опыта выполнения аналогичных работ.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учитывая, что участник закупки фактически соответствует дополнительным требованиям, Комиссия Мурманского УФАС приходит к выводу, что выдача предписания нецелесообразна.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/>
        <w:ind w:left="108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Тожибаева Захиджона Пазилжоновича на действия уполномоченного органа Заказчика - Муниципального казенного учреждения "отдел капитального строительства ЗАТО Александровск" при проведении электронного аукциона на выполнение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 по устройству оснований под детские площадки на территории ЗАТО Александровск (извещение №</w:t>
      </w:r>
      <w:r>
        <w:fldChar w:fldCharType="begin"/>
      </w:r>
      <w:r>
        <w:rPr/>
        <w:instrText> HYPERLINK "https://zakupki.gov.ru/epz/order/notice/ea20/view/common-info.html?regNumber=0849300001723000025"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0849300001723000025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Муниципальное казенное учреждение "отдел капитального строительства ЗАТО Александровск" нарушившим часть 4 статьи 31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дня его принятия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" w:right="654" w:bottom="1270" w:left="98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91515" distB="73025" distL="0" distR="0" simplePos="0" relativeHeight="125829380" behindDoc="0" locked="0" layoutInCell="1" allowOverlap="1">
                <wp:simplePos x="0" y="0"/>
                <wp:positionH relativeFrom="page">
                  <wp:posOffset>756285</wp:posOffset>
                </wp:positionH>
                <wp:positionV relativeFrom="paragraph">
                  <wp:posOffset>691515</wp:posOffset>
                </wp:positionV>
                <wp:extent cx="1700530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550000000000004pt;margin-top:54.450000000000003pt;width:133.90000000000001pt;height:18.5pt;z-index:-125829373;mso-wrap-distance-left:0;mso-wrap-distance-top:54.450000000000003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20700" distB="0" distL="0" distR="1581785" simplePos="0" relativeHeight="125829382" behindDoc="0" locked="0" layoutInCell="1" allowOverlap="1">
            <wp:simplePos x="0" y="0"/>
            <wp:positionH relativeFrom="page">
              <wp:posOffset>2917190</wp:posOffset>
            </wp:positionH>
            <wp:positionV relativeFrom="paragraph">
              <wp:posOffset>520700</wp:posOffset>
            </wp:positionV>
            <wp:extent cx="316865" cy="4813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1686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3322320</wp:posOffset>
                </wp:positionH>
                <wp:positionV relativeFrom="paragraph">
                  <wp:posOffset>877570</wp:posOffset>
                </wp:positionV>
                <wp:extent cx="1143000" cy="9461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1.60000000000002pt;margin-top:69.100000000000009pt;width:90.pt;height:7.45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600075</wp:posOffset>
                </wp:positionV>
                <wp:extent cx="1530350" cy="2317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8.5pt;margin-top:47.25pt;width:120.5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91515" distB="73025" distL="0" distR="0" simplePos="0" relativeHeight="125829383" behindDoc="0" locked="0" layoutInCell="1" allowOverlap="1">
                <wp:simplePos x="0" y="0"/>
                <wp:positionH relativeFrom="page">
                  <wp:posOffset>5934710</wp:posOffset>
                </wp:positionH>
                <wp:positionV relativeFrom="paragraph">
                  <wp:posOffset>691515</wp:posOffset>
                </wp:positionV>
                <wp:extent cx="109410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К.Ф. Воронина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7.30000000000001pt;margin-top:54.450000000000003pt;width:86.150000000000006pt;height:18.5pt;z-index:-125829370;mso-wrap-distance-left:0;mso-wrap-distance-top:54.450000000000003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К.Ф. Воронина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Кому выдан: Воронина Ксения Феликсовна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25252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00Э3229С8807ЕС71Е1А8А1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ЕЕ785А49А985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48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21.03.2023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13.06.2024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834" w:bottom="1659" w:left="1107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94615" distL="0" distR="1621790" simplePos="0" relativeHeight="125829385" behindDoc="0" locked="0" layoutInCell="1" allowOverlap="1">
            <wp:simplePos x="0" y="0"/>
            <wp:positionH relativeFrom="page">
              <wp:posOffset>2889885</wp:posOffset>
            </wp:positionH>
            <wp:positionV relativeFrom="paragraph">
              <wp:posOffset>0</wp:posOffset>
            </wp:positionV>
            <wp:extent cx="316865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3261995</wp:posOffset>
                </wp:positionH>
                <wp:positionV relativeFrom="paragraph">
                  <wp:posOffset>79375</wp:posOffset>
                </wp:positionV>
                <wp:extent cx="1566545" cy="23749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6.85000000000002pt;margin-top:6.25pt;width:123.35000000000001pt;height:18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0" distL="0" distR="0" simplePos="0" relativeHeight="125829386" behindDoc="0" locked="0" layoutInCell="1" allowOverlap="1">
                <wp:simplePos x="0" y="0"/>
                <wp:positionH relativeFrom="page">
                  <wp:posOffset>3301365</wp:posOffset>
                </wp:positionH>
                <wp:positionV relativeFrom="paragraph">
                  <wp:posOffset>362585</wp:posOffset>
                </wp:positionV>
                <wp:extent cx="1167130" cy="977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9.94999999999999pt;margin-top:28.550000000000001pt;width:91.900000000000006pt;height:7.7000000000000002pt;z-index:-125829367;mso-wrap-distance-left:0;mso-wrap-distance-top:28.5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1435" distL="0" distR="0" simplePos="0" relativeHeight="125829388" behindDoc="0" locked="0" layoutInCell="1" allowOverlap="1">
                <wp:simplePos x="0" y="0"/>
                <wp:positionH relativeFrom="page">
                  <wp:posOffset>5931535</wp:posOffset>
                </wp:positionH>
                <wp:positionV relativeFrom="paragraph">
                  <wp:posOffset>173990</wp:posOffset>
                </wp:positionV>
                <wp:extent cx="109728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Неплюева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7.05000000000001pt;margin-top:13.700000000000001pt;width:86.400000000000006pt;height:18.5pt;z-index:-125829365;mso-wrap-distance-left:0;mso-wrap-distance-top:13.700000000000001pt;mso-wrap-distance-right:0;mso-wrap-distance-bottom:4.049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Неплюева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Неплюева Анна Владимировна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1201Е9ЕЮ11АОЕ6О6С82ССА5575Р01В1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420" w:right="0" w:firstLine="0"/>
        <w:jc w:val="left"/>
        <w:rPr>
          <w:sz w:val="10"/>
          <w:szCs w:val="10"/>
        </w:rPr>
      </w:pPr>
      <w:r>
        <w:drawing>
          <wp:anchor distT="0" distB="0" distL="114300" distR="1726565" simplePos="0" relativeHeight="125829390" behindDoc="0" locked="0" layoutInCell="1" allowOverlap="1">
            <wp:simplePos x="0" y="0"/>
            <wp:positionH relativeFrom="page">
              <wp:posOffset>2889885</wp:posOffset>
            </wp:positionH>
            <wp:positionV relativeFrom="paragraph">
              <wp:posOffset>228600</wp:posOffset>
            </wp:positionV>
            <wp:extent cx="323215" cy="48768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2321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3304540</wp:posOffset>
                </wp:positionH>
                <wp:positionV relativeFrom="paragraph">
                  <wp:posOffset>591185</wp:posOffset>
                </wp:positionV>
                <wp:extent cx="1155065" cy="9461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0.19999999999999pt;margin-top:46.550000000000004pt;width:90.950000000000003pt;height:7.45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3264535</wp:posOffset>
                </wp:positionH>
                <wp:positionV relativeFrom="paragraph">
                  <wp:posOffset>311150</wp:posOffset>
                </wp:positionV>
                <wp:extent cx="1557655" cy="23495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7.05000000000001pt;margin-top:24.5pt;width:122.65000000000001pt;height:18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05.12.2022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28.02.2024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Конох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Конох Анна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0"/>
          <w:szCs w:val="10"/>
        </w:rPr>
      </w:pPr>
      <w:r>
        <w:rPr>
          <w:rFonts w:ascii="Arial" w:eastAsia="Arial" w:hAnsi="Arial" w:cs="Arial"/>
          <w:color w:val="25252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ООЭ700221ЕОЕА737ВВА49ЕЕ32СОЕАЗОА29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780" w:line="240" w:lineRule="auto"/>
        <w:ind w:left="34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E4E4E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01.03.2023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по 24.05.2024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Исп.Конох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34" w:bottom="134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9951085</wp:posOffset>
              </wp:positionV>
              <wp:extent cx="5670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3.55000000000007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4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