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Амурской области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Амурская, 150, г. Благовещенск</w:t>
        <w:br/>
        <w:t>Амурская область, 675000</w:t>
        <w:br/>
        <w:t>тел. (4162) 52-00-07, факс (4162) 52-00-35</w:t>
        <w:br/>
        <w:t>е-таП: 1о28@&amp;8.§оу.ги</w:t>
      </w:r>
    </w:p>
    <w:p>
      <w:pPr>
        <w:pStyle w:val="Style10"/>
        <w:keepNext/>
        <w:keepLines/>
        <w:widowControl w:val="0"/>
        <w:shd w:val="clear" w:color="auto" w:fill="auto"/>
        <w:tabs>
          <w:tab w:pos="1950" w:val="left"/>
        </w:tabs>
        <w:bidi w:val="0"/>
        <w:spacing w:before="0" w:line="240" w:lineRule="auto"/>
        <w:ind w:left="0" w:right="0"/>
        <w:jc w:val="both"/>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НГ/602/23</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по делам № 028/06/99- 336/2023, № 028/06/106-340/2023, № 028/06/106-344/2023</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Муниципальное казенное учреждение «Стройсервис» города Свободного Ъих81тоу8ет8@тай.ги</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Администрация города Свободного 1огдП912@тай.ги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«Дело Плюс»</w:t>
      </w:r>
    </w:p>
    <w:p>
      <w:pPr>
        <w:pStyle w:val="Style1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де1о.р1уи8@тай.ги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«Теплокомфорт»</w:t>
      </w:r>
    </w:p>
    <w:p>
      <w:pPr>
        <w:pStyle w:val="Style16"/>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882" w:bottom="1231" w:left="1140" w:header="0" w:footer="3" w:gutter="0"/>
          <w:pgNumType w:start="1"/>
          <w:cols w:num="2" w:space="720" w:equalWidth="0">
            <w:col w:w="4061" w:space="1205"/>
            <w:col w:w="4613"/>
          </w:cols>
          <w:noEndnote/>
          <w:titlePg/>
          <w:rtlGutter w:val="0"/>
          <w:docGrid w:linePitch="360"/>
        </w:sectPr>
      </w:pPr>
      <w:r>
        <w:rPr>
          <w:color w:val="000000"/>
          <w:spacing w:val="0"/>
          <w:w w:val="100"/>
          <w:position w:val="0"/>
          <w:shd w:val="clear" w:color="auto" w:fill="auto"/>
          <w:lang w:val="ru-RU" w:eastAsia="ru-RU" w:bidi="ru-RU"/>
        </w:rPr>
        <w:t>1етр.с1\@'тЬох.ги</w:t>
      </w:r>
    </w:p>
    <w:p>
      <w:pPr>
        <w:widowControl w:val="0"/>
        <w:spacing w:line="240" w:lineRule="exact"/>
        <w:rPr>
          <w:sz w:val="19"/>
          <w:szCs w:val="19"/>
        </w:rPr>
      </w:pP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3" w:right="0" w:bottom="1221" w:left="0" w:header="0" w:footer="3" w:gutter="0"/>
          <w:cols w:space="720"/>
          <w:noEndnote/>
          <w:rtlGutter w:val="0"/>
          <w:docGrid w:linePitch="360"/>
        </w:sectPr>
      </w:pPr>
    </w:p>
    <w:p>
      <w:pPr>
        <w:pStyle w:val="Style1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w:t>
        <w:br/>
        <w:t>по делам № 028/06/99-336/2023, № 028/06/106-340/2023, № 028/06/106-344/2023</w:t>
      </w:r>
    </w:p>
    <w:p>
      <w:pPr>
        <w:pStyle w:val="Style16"/>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5948045</wp:posOffset>
                </wp:positionH>
                <wp:positionV relativeFrom="paragraph">
                  <wp:posOffset>12700</wp:posOffset>
                </wp:positionV>
                <wp:extent cx="1237615" cy="250190"/>
                <wp:wrapSquare wrapText="left"/>
                <wp:docPr id="6" name="Shape 6"/>
                <a:graphic xmlns:a="http://schemas.openxmlformats.org/drawingml/2006/main">
                  <a:graphicData uri="http://schemas.microsoft.com/office/word/2010/wordprocessingShape">
                    <wps:wsp>
                      <wps:cNvSpPr txBox="1"/>
                      <wps:spPr>
                        <a:xfrm>
                          <a:ext cx="123761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32" type="#_x0000_t202" style="position:absolute;margin-left:468.35000000000002pt;margin-top:1.pt;width:97.450000000000003pt;height:19.699999999999999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04.05.2023</w:t>
      </w:r>
    </w:p>
    <w:p>
      <w:pPr>
        <w:pStyle w:val="Style16"/>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(в полном объеме изготовлено 11.05.2023)</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Горячевой Н.В. - заместителя руководителя управления, председателя Комиссии; Парнищевой М.М. - начальника отдела контроля закупок; Левченко И.И. - ведущего специалиста-эксперта отдела контроля закупок,</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 от заказчика (в режиме ВКС) - Андышева Д.В., действующего на основании прав по должности директора учреждения,</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уполномоченного органа (в режиме ВКС) - Елисофенко Е.Ю., действующей на основании доверенности от 11.01.2023 № 01-09-63, Пархоменко Л.И., действующей на основании доверенности от 11.01.2023 № 01-09-60,</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общества с ограниченной ответственностью «Дело Плюс» (в режиме ВКС) - Пилюгина В.В., действующего на основании прав по должности директора общества,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общества с ограниченной ответственностью «Теплокомфорт» (личное участие) - Романенко Р.Ю., действующего на основании доверенности от 04.05.2023, Романенко Ю.В., действующего на основании доверенности от 04.05.2023</w:t>
      </w:r>
    </w:p>
    <w:p>
      <w:pPr>
        <w:pStyle w:val="Style16"/>
        <w:keepNext w:val="0"/>
        <w:keepLines w:val="0"/>
        <w:widowControl w:val="0"/>
        <w:shd w:val="clear" w:color="auto" w:fill="auto"/>
        <w:bidi w:val="0"/>
        <w:spacing w:before="0" w:after="340" w:line="240" w:lineRule="auto"/>
        <w:ind w:left="0" w:right="0" w:firstLine="740"/>
        <w:jc w:val="both"/>
      </w:pPr>
      <w:r>
        <w:rPr>
          <w:color w:val="000000"/>
          <w:spacing w:val="0"/>
          <w:w w:val="100"/>
          <w:position w:val="0"/>
          <w:shd w:val="clear" w:color="auto" w:fill="auto"/>
          <w:lang w:val="ru-RU" w:eastAsia="ru-RU" w:bidi="ru-RU"/>
        </w:rPr>
        <w:t>(лицам, присутствующим на заседании комиссии, разъяснены права, порядок рассмотрения дела, сообщено о ведении аудио- и видеозаписи заседания Комиссии</w:t>
      </w:r>
    </w:p>
    <w:p>
      <w:pPr>
        <w:pStyle w:val="Style3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Амурского УФАС России),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рассмотрела поступившие в Амурское УФАС России жалобы от общества с ограниченной ответственностью «Дело Плюс» (далее - ООО «Дело Плюс»), общества с ограниченной ответственностью «Теплокомфорт» » (далее - ООО «Теплокомфорт») на действия муниципального заказчика - Муниципального казенного учреждения «Стройсервис» города Свободного (далее - МКУ «Стройсервис»), уполномоченного органа - Администрации города Свободного, нарушающих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при осуществлении закупки в форме открытого конкурса в электронной форме на выполнение работ по частичному капитальному ремонту котла №1 (КЕ 25-14 ПС) на районной котельной №1 (замена трубной части и газоходов) г. Свободный Амурской области, объявленной извещением от 05.04.2023 № 0123300007923000054 на электронной площадке РТС- тендер 11Пр:/Л\л\л\'.г1^-1епс1ег.П1. выразившиеся, по мнению заявителей,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жалобы заявителей следует, что конкурсная комиссия заказчика неправомерно отклонила заявку общества с ограниченной ответственностью «Дело Плюс», а в протоколе подведения итогов отсутствуют основания присвоения обществу с ограниченной ответственностью «Теплокомфорт» ноль баллов.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и уполномоченного органа с доводами, заявленными в жалобах, не согласились. Представили письменные возражения, которые приобщены к материалам дела. Просят признать жалобы необоснованными.</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tabs>
          <w:tab w:pos="2434" w:val="left"/>
          <w:tab w:pos="612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05.04.2023 уполномоченным органом - администрацией города Свободного по заявке муниципального заказчика - МКУ «Стройсервис» на электронной площадке РТС-тендер</w:t>
        <w:tab/>
        <w:t>11Пр:/Л\л\л\л1^-1епс1ег.П1</w:t>
        <w:tab/>
        <w:t>опубликовано извещение</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0123300007923000054 на выполнение работ по частичному капитальному ремонту котла №1 (КЕ 25-14 ПС) на районной котельной №1 (замена трубной части и газоходов) г. Свободный Амурской области.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Соответствующая информация размещена на официальном сайте Единой информационной системы в сфере закупок</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\\'\\л\\/а1&lt;11р1&lt;1.ро\\П1</w:t>
      </w:r>
      <w:r>
        <w:fldChar w:fldCharType="end"/>
      </w:r>
      <w:r>
        <w:rPr>
          <w:color w:val="000000"/>
          <w:spacing w:val="0"/>
          <w:w w:val="100"/>
          <w:position w:val="0"/>
          <w:shd w:val="clear" w:color="auto" w:fill="auto"/>
          <w:lang w:val="ru-RU" w:eastAsia="ru-RU" w:bidi="ru-RU"/>
        </w:rPr>
        <w:t>.</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установлена в размере 30 584 933,28 рублей.</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- 21.04.2023 в 08:00, дата окончания срока рассмотрения и оценки вторых частей заявок - 25.04.2023, дата подведения итогов определения поставщика (подрядчика, исполнителя) -</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26.04.2023.</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от 25.04.2023 на участие в закупке поступило четыре заявки, одна из которых признана несоответствующей требованиям извещения.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Заявка ООО «Дело Плюс» отклонена от дальнейшего рассмотрения по причине несоответствия информации и документов, предусмотренных пунктами 2 и 3 части 6 статьи 43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исследовав материалы дела, приходит к следующим выводам.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2 статьи 31 Закона о контрактной системе установлено, что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6"/>
        <w:keepNext w:val="0"/>
        <w:keepLines w:val="0"/>
        <w:widowControl w:val="0"/>
        <w:numPr>
          <w:ilvl w:val="0"/>
          <w:numId w:val="1"/>
        </w:numPr>
        <w:shd w:val="clear" w:color="auto" w:fill="auto"/>
        <w:tabs>
          <w:tab w:pos="109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6"/>
        <w:keepNext w:val="0"/>
        <w:keepLines w:val="0"/>
        <w:widowControl w:val="0"/>
        <w:numPr>
          <w:ilvl w:val="0"/>
          <w:numId w:val="1"/>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6"/>
        <w:keepNext w:val="0"/>
        <w:keepLines w:val="0"/>
        <w:widowControl w:val="0"/>
        <w:numPr>
          <w:ilvl w:val="0"/>
          <w:numId w:val="1"/>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6"/>
        <w:keepNext w:val="0"/>
        <w:keepLines w:val="0"/>
        <w:widowControl w:val="0"/>
        <w:numPr>
          <w:ilvl w:val="0"/>
          <w:numId w:val="1"/>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10 раздела II дополнительных требований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установлено, что в случае осуществления закупки на работы по капитальному ремонту объекта капитального строительства (за исключением линейного объекта) к участникам закупки устанавливаются дополнительные требования о наличии следующего опыта выполнения работ:</w:t>
      </w:r>
    </w:p>
    <w:p>
      <w:pPr>
        <w:pStyle w:val="Style16"/>
        <w:keepNext w:val="0"/>
        <w:keepLines w:val="0"/>
        <w:widowControl w:val="0"/>
        <w:numPr>
          <w:ilvl w:val="0"/>
          <w:numId w:val="3"/>
        </w:numPr>
        <w:shd w:val="clear" w:color="auto" w:fill="auto"/>
        <w:tabs>
          <w:tab w:pos="11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16"/>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16"/>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Частью 4 статьи 31 Закона о контрактной системе установлено, что в случае установления Правительством Российской Федерации в соответствии с частью 2 </w:t>
      </w:r>
      <w:r>
        <w:rPr>
          <w:color w:val="000000"/>
          <w:spacing w:val="0"/>
          <w:w w:val="100"/>
          <w:position w:val="0"/>
          <w:shd w:val="clear" w:color="auto" w:fill="auto"/>
          <w:lang w:val="ru-RU" w:eastAsia="ru-RU" w:bidi="ru-RU"/>
        </w:rPr>
        <w:t>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извещение от 05.04.2023 № 0123300007923000054 установлены дополнительные требования к участникам закупки, предусмотренные пунктом 10 Постановления № 2571.</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9 статьи 31 Закона о контрактной системе установлено, что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своего соответствия указанным требованиям.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Подпунктом «н» пункта 1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«Дело Плюс» в составе заявки в качестве документа, подтверждающего соответствия участника закупки дополнительным требования предусмотренных пунктом 10 Постановления № 2571, предоставлен договор № 676/ОАЭ-ЦДТВ/20/1/1 на выполнение работ по текущему ремонту парового котла ДЕ10-14 котельной ст. Высокогорная.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Амурского УФАС России изучив предоставленный ООО «Дело Плюс» в составе заявки договор № 676/ОАЭ-ЦДТВ/20/1/1 со всеми приложениями, приходит к выводу, что результат выполненных работ представляет собой </w:t>
      </w:r>
      <w:r>
        <w:rPr>
          <w:color w:val="000000"/>
          <w:spacing w:val="0"/>
          <w:w w:val="100"/>
          <w:position w:val="0"/>
          <w:shd w:val="clear" w:color="auto" w:fill="auto"/>
          <w:lang w:val="ru-RU" w:eastAsia="ru-RU" w:bidi="ru-RU"/>
        </w:rPr>
        <w:t>непосредственно текущий ремонт.</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предоставленный ООО «Дело Плюс» в составе заявки договор № 676/ОАЭ-ЦДТВ/20/1/1 не соответствует требованиям пункта 10 Постановления № 2571, поскольку участник закупки в силу действующего законодательства должен предоставить опыт выполнения работ по капитальному ремонту объекта капитального строительства за исключением линейного объекта и соответственно конкурсная комиссия заказчика правомерна признала заявку несоответствующей требованиям законодательства.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13 статьи 48 Закона о контрактной системе установлено, что протокол рассмотрения и оценки вторых частей заявок на участие в закупке должен содержать:</w:t>
      </w:r>
    </w:p>
    <w:p>
      <w:pPr>
        <w:pStyle w:val="Style16"/>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дату рассмотрения и оценки вторых частей заявок на участие в закупке, идентификационные номера таких заявок;</w:t>
      </w:r>
    </w:p>
    <w:p>
      <w:pPr>
        <w:pStyle w:val="Style16"/>
        <w:keepNext w:val="0"/>
        <w:keepLines w:val="0"/>
        <w:widowControl w:val="0"/>
        <w:numPr>
          <w:ilvl w:val="0"/>
          <w:numId w:val="5"/>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Style16"/>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pPr>
        <w:pStyle w:val="Style16"/>
        <w:keepNext w:val="0"/>
        <w:keepLines w:val="0"/>
        <w:widowControl w:val="0"/>
        <w:numPr>
          <w:ilvl w:val="0"/>
          <w:numId w:val="5"/>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6"/>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17 статьи 48 Закона о контрактной системе протокол подведения итогов определения поставщика (подрядчика, исполнителя) должен содержать следующую информацию:</w:t>
      </w:r>
    </w:p>
    <w:p>
      <w:pPr>
        <w:pStyle w:val="Style16"/>
        <w:keepNext w:val="0"/>
        <w:keepLines w:val="0"/>
        <w:widowControl w:val="0"/>
        <w:numPr>
          <w:ilvl w:val="0"/>
          <w:numId w:val="7"/>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дату подведения итогов определения поставщика (подрядчика, исполнителя), идентификационные номера заявок на участие в закупке;</w:t>
      </w:r>
    </w:p>
    <w:p>
      <w:pPr>
        <w:pStyle w:val="Style16"/>
        <w:keepNext w:val="0"/>
        <w:keepLines w:val="0"/>
        <w:widowControl w:val="0"/>
        <w:numPr>
          <w:ilvl w:val="0"/>
          <w:numId w:val="7"/>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16"/>
        <w:keepNext w:val="0"/>
        <w:keepLines w:val="0"/>
        <w:widowControl w:val="0"/>
        <w:numPr>
          <w:ilvl w:val="0"/>
          <w:numId w:val="7"/>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присвоенные заявкам на участие в закупке, первые и вторые части которых признаны соответствующими извещению об осуществлении закупки, значения по </w:t>
      </w:r>
      <w:r>
        <w:rPr>
          <w:color w:val="000000"/>
          <w:spacing w:val="0"/>
          <w:w w:val="100"/>
          <w:position w:val="0"/>
          <w:shd w:val="clear" w:color="auto" w:fill="auto"/>
          <w:lang w:val="ru-RU" w:eastAsia="ru-RU" w:bidi="ru-RU"/>
        </w:rPr>
        <w:t>критериям оценки, установленным в извещении об осуществлении закупки;</w:t>
      </w:r>
    </w:p>
    <w:p>
      <w:pPr>
        <w:pStyle w:val="Style16"/>
        <w:keepNext w:val="0"/>
        <w:keepLines w:val="0"/>
        <w:widowControl w:val="0"/>
        <w:numPr>
          <w:ilvl w:val="0"/>
          <w:numId w:val="7"/>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порядковые номера, присвоенные в соответствии с настоящим Федеральным законом заявкам на участие в закупке;</w:t>
      </w:r>
    </w:p>
    <w:p>
      <w:pPr>
        <w:pStyle w:val="Style16"/>
        <w:keepNext w:val="0"/>
        <w:keepLines w:val="0"/>
        <w:widowControl w:val="0"/>
        <w:numPr>
          <w:ilvl w:val="0"/>
          <w:numId w:val="7"/>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заключении контракта по цене, увеличенной в соответствии со статьями 28 и 29 настоящего Федерального закона;</w:t>
      </w:r>
    </w:p>
    <w:p>
      <w:pPr>
        <w:pStyle w:val="Style16"/>
        <w:keepNext w:val="0"/>
        <w:keepLines w:val="0"/>
        <w:widowControl w:val="0"/>
        <w:numPr>
          <w:ilvl w:val="0"/>
          <w:numId w:val="7"/>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решении каждого члена комиссии по осуществлению закупок в отношении каждой заявки на участие в закупке;</w:t>
      </w:r>
    </w:p>
    <w:p>
      <w:pPr>
        <w:pStyle w:val="Style16"/>
        <w:keepNext w:val="0"/>
        <w:keepLines w:val="0"/>
        <w:widowControl w:val="0"/>
        <w:numPr>
          <w:ilvl w:val="0"/>
          <w:numId w:val="7"/>
        </w:numPr>
        <w:shd w:val="clear" w:color="auto" w:fill="auto"/>
        <w:tabs>
          <w:tab w:pos="12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признании определения поставщика (подрядчика, исполнителя) несостоявшимся в случаях, предусмотренных пунктами 1 - 4 части 1 статьи 52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18 статьи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довод о неполноте протокола рассмотрения и оценки вторых частей заявок не находит подтверждения, поскольку пункт 3 части 13 и пункт 3 части 17 статьи 48 Закона о контрактной системе указывает на значение критерия, а не на расчеты указанных значений. При этом Законом о контрактной системе не вменяется в обязанности комиссии по осуществлению закупок включать в протокол рассмотрения и оценки вторых частей заявок на участие в открытом конкурсе в электронной форме информацию о количестве контрактов (договоров), представленных в заявках участников закупки, их общей стоимости, а также указывать основания, по которым указанные контракты (договоры) не учитываются при присвоении баллов по соответствующим критериям.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 закупки в силу части 18 статьи 48 Закона о контрактной системе имеет право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письменных пояснений заказчика следует, что комиссией заказчика производилась оценка представленных ООО «Теплокомфорт» контрактов в соответствие с требованиями законодательства.</w:t>
      </w:r>
      <w:r>
        <w:br w:type="page"/>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 предоставленные в материалы дела документы и сведения, Комиссия Амурского УФАС России приходит к выводу, что в действиях конкурсной комиссии заказчика отсутствует нарушение требований норм действующего законодательства.</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жалобы ООО «Дело Плюс», ООО «Теплокомфорт»,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1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Е Н И 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Признать жалобу общества с ограниченной ответственностью «Дело Плюс» необоснованной.</w:t>
      </w:r>
    </w:p>
    <w:p>
      <w:pPr>
        <w:pStyle w:val="Style1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2. Признать жалобу общества с ограниченной ответственностью «Теплокомфорт» необоснованной.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Арбитражный суд Амурской области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293" w:right="537" w:bottom="1221" w:left="1100" w:header="0" w:footer="3" w:gutter="0"/>
          <w:cols w:space="720"/>
          <w:noEndnote/>
          <w:rtlGutter w:val="0"/>
          <w:docGrid w:linePitch="360"/>
        </w:sectPr>
      </w:pPr>
      <w:r>
        <mc:AlternateContent>
          <mc:Choice Requires="wps">
            <w:drawing>
              <wp:anchor distT="292100" distB="2697480" distL="0" distR="0" simplePos="0" relativeHeight="125829380" behindDoc="0" locked="0" layoutInCell="1" allowOverlap="1">
                <wp:simplePos x="0" y="0"/>
                <wp:positionH relativeFrom="page">
                  <wp:posOffset>736600</wp:posOffset>
                </wp:positionH>
                <wp:positionV relativeFrom="paragraph">
                  <wp:posOffset>292100</wp:posOffset>
                </wp:positionV>
                <wp:extent cx="1874520" cy="250190"/>
                <wp:wrapTopAndBottom/>
                <wp:docPr id="8" name="Shape 8"/>
                <a:graphic xmlns:a="http://schemas.openxmlformats.org/drawingml/2006/main">
                  <a:graphicData uri="http://schemas.microsoft.com/office/word/2010/wordprocessingShape">
                    <wps:wsp>
                      <wps:cNvSpPr txBox="1"/>
                      <wps:spPr>
                        <a:xfrm>
                          <a:ext cx="187452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pt;margin-top:23.pt;width:147.59999999999999pt;height:19.699999999999999pt;z-index:-125829373;mso-wrap-distance-left:0;mso-wrap-distance-top:23.pt;mso-wrap-distance-right:0;mso-wrap-distance-bottom:212.4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1386205" distB="1603375" distL="0" distR="0" simplePos="0" relativeHeight="125829382" behindDoc="0" locked="0" layoutInCell="1" allowOverlap="1">
                <wp:simplePos x="0" y="0"/>
                <wp:positionH relativeFrom="page">
                  <wp:posOffset>736600</wp:posOffset>
                </wp:positionH>
                <wp:positionV relativeFrom="paragraph">
                  <wp:posOffset>1386205</wp:posOffset>
                </wp:positionV>
                <wp:extent cx="1341120" cy="250190"/>
                <wp:wrapTopAndBottom/>
                <wp:docPr id="10" name="Shape 10"/>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6" type="#_x0000_t202" style="position:absolute;margin-left:58.pt;margin-top:109.15000000000001pt;width:105.60000000000001pt;height:19.699999999999999pt;z-index:-125829371;mso-wrap-distance-left:0;mso-wrap-distance-top:109.15000000000001pt;mso-wrap-distance-right:0;mso-wrap-distance-bottom:126.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459740" distB="0" distL="0" distR="0" simplePos="0" relativeHeight="125829384" behindDoc="0" locked="0" layoutInCell="1" allowOverlap="1">
                <wp:simplePos x="0" y="0"/>
                <wp:positionH relativeFrom="page">
                  <wp:posOffset>2668905</wp:posOffset>
                </wp:positionH>
                <wp:positionV relativeFrom="paragraph">
                  <wp:posOffset>459740</wp:posOffset>
                </wp:positionV>
                <wp:extent cx="2206625" cy="2780030"/>
                <wp:wrapTopAndBottom/>
                <wp:docPr id="12" name="Shape 12"/>
                <a:graphic xmlns:a="http://schemas.openxmlformats.org/drawingml/2006/main">
                  <a:graphicData uri="http://schemas.microsoft.com/office/word/2010/wordprocessingShape">
                    <wps:wsp>
                      <wps:cNvSpPr txBox="1"/>
                      <wps:spPr>
                        <a:xfrm>
                          <a:ext cx="2206625" cy="2780030"/>
                        </a:xfrm>
                        <a:prstGeom prst="rect"/>
                        <a:noFill/>
                      </wps:spPr>
                      <wps:txbx>
                        <w:txbxContent>
                          <w:tbl>
                            <w:tblPr>
                              <w:tblOverlap w:val="never"/>
                              <w:jc w:val="left"/>
                              <w:tblLayout w:type="fixed"/>
                            </w:tblPr>
                            <w:tblGrid>
                              <w:gridCol w:w="3394"/>
                              <w:gridCol w:w="82"/>
                            </w:tblGrid>
                            <w:tr>
                              <w:trPr>
                                <w:tblHeader/>
                                <w:trHeight w:val="509" w:hRule="exact"/>
                              </w:trPr>
                              <w:tc>
                                <w:tcPr>
                                  <w:gridSpan w:val="2"/>
                                  <w:tcBorders>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640"/>
                                    <w:jc w:val="left"/>
                                    <w:rPr>
                                      <w:sz w:val="12"/>
                                      <w:szCs w:val="12"/>
                                    </w:rPr>
                                  </w:pPr>
                                  <w:r>
                                    <w:rPr>
                                      <w:color w:val="212121"/>
                                      <w:spacing w:val="0"/>
                                      <w:w w:val="100"/>
                                      <w:position w:val="0"/>
                                      <w:sz w:val="12"/>
                                      <w:szCs w:val="12"/>
                                      <w:shd w:val="clear" w:color="auto" w:fill="auto"/>
                                      <w:lang w:val="ru-RU" w:eastAsia="ru-RU" w:bidi="ru-RU"/>
                                    </w:rPr>
                                    <w:t>Подлинник электронного документа, подписанного</w:t>
                                  </w:r>
                                </w:p>
                                <w:p>
                                  <w:pPr>
                                    <w:pStyle w:val="Style18"/>
                                    <w:keepNext w:val="0"/>
                                    <w:keepLines w:val="0"/>
                                    <w:widowControl w:val="0"/>
                                    <w:shd w:val="clear" w:color="auto" w:fill="auto"/>
                                    <w:tabs>
                                      <w:tab w:pos="614" w:val="left"/>
                                    </w:tabs>
                                    <w:bidi w:val="0"/>
                                    <w:spacing w:before="0" w:after="0" w:line="216" w:lineRule="auto"/>
                                    <w:ind w:left="0" w:right="0" w:firstLine="0"/>
                                    <w:jc w:val="left"/>
                                    <w:rPr>
                                      <w:sz w:val="12"/>
                                      <w:szCs w:val="12"/>
                                    </w:rPr>
                                  </w:pPr>
                                  <w:r>
                                    <w:rPr>
                                      <w:color w:val="212121"/>
                                      <w:spacing w:val="0"/>
                                      <w:w w:val="100"/>
                                      <w:position w:val="0"/>
                                      <w:sz w:val="12"/>
                                      <w:szCs w:val="12"/>
                                      <w:shd w:val="clear" w:color="auto" w:fill="auto"/>
                                      <w:lang w:val="ru-RU" w:eastAsia="ru-RU" w:bidi="ru-RU"/>
                                    </w:rPr>
                                    <w:t>ЖгаиР</w:t>
                                    <w:tab/>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хранится в системе электронного</w:t>
                                  </w:r>
                                </w:p>
                                <w:p>
                                  <w:pPr>
                                    <w:pStyle w:val="Style18"/>
                                    <w:keepNext w:val="0"/>
                                    <w:keepLines w:val="0"/>
                                    <w:widowControl w:val="0"/>
                                    <w:shd w:val="clear" w:color="auto" w:fill="auto"/>
                                    <w:tabs>
                                      <w:tab w:pos="490" w:val="left"/>
                                    </w:tabs>
                                    <w:bidi w:val="0"/>
                                    <w:spacing w:before="0" w:after="0" w:line="209" w:lineRule="auto"/>
                                    <w:ind w:left="0" w:right="0" w:firstLine="0"/>
                                    <w:jc w:val="left"/>
                                    <w:rPr>
                                      <w:sz w:val="12"/>
                                      <w:szCs w:val="12"/>
                                    </w:rPr>
                                  </w:pPr>
                                  <w:r>
                                    <w:rPr>
                                      <w:color w:val="212121"/>
                                      <w:spacing w:val="0"/>
                                      <w:w w:val="100"/>
                                      <w:position w:val="0"/>
                                      <w:sz w:val="12"/>
                                      <w:szCs w:val="12"/>
                                      <w:shd w:val="clear" w:color="auto" w:fill="auto"/>
                                      <w:lang w:val="ru-RU" w:eastAsia="ru-RU" w:bidi="ru-RU"/>
                                    </w:rPr>
                                    <w:t>Зм&amp;</w:t>
                                    <w:tab/>
                                    <w:t>документооборота ФАС России</w:t>
                                  </w:r>
                                </w:p>
                              </w:tc>
                            </w:tr>
                            <w:tr>
                              <w:trPr>
                                <w:trHeight w:val="139" w:hRule="exact"/>
                              </w:trPr>
                              <w:tc>
                                <w:tcPr>
                                  <w:tcBorders>
                                    <w:left w:val="single" w:sz="4"/>
                                  </w:tcBorders>
                                  <w:shd w:val="clear" w:color="auto" w:fill="000000"/>
                                  <w:vAlign w:val="top"/>
                                </w:tcPr>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70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629" w:hRule="exact"/>
                              </w:trPr>
                              <w:tc>
                                <w:tcPr>
                                  <w:gridSpan w:val="2"/>
                                  <w:tcBorders>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9696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Горячева Наталья Васильевна</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4C4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C4C4C"/>
                                      <w:spacing w:val="0"/>
                                      <w:w w:val="100"/>
                                      <w:position w:val="0"/>
                                      <w:sz w:val="12"/>
                                      <w:szCs w:val="12"/>
                                      <w:shd w:val="clear" w:color="auto" w:fill="auto"/>
                                      <w:lang w:val="ru-RU" w:eastAsia="ru-RU" w:bidi="ru-RU"/>
                                    </w:rPr>
                                    <w:t>00Е23585А79ЕЗЭ4241</w:t>
                                  </w:r>
                                  <w:r>
                                    <w:rPr>
                                      <w:rFonts w:ascii="Arial" w:eastAsia="Arial" w:hAnsi="Arial" w:cs="Arial"/>
                                      <w:color w:val="000000"/>
                                      <w:spacing w:val="0"/>
                                      <w:w w:val="100"/>
                                      <w:position w:val="0"/>
                                      <w:sz w:val="12"/>
                                      <w:szCs w:val="12"/>
                                      <w:shd w:val="clear" w:color="auto" w:fill="auto"/>
                                      <w:lang w:val="ru-RU" w:eastAsia="ru-RU" w:bidi="ru-RU"/>
                                    </w:rPr>
                                    <w:t>АС1</w:t>
                                  </w:r>
                                  <w:r>
                                    <w:rPr>
                                      <w:rFonts w:ascii="Arial" w:eastAsia="Arial" w:hAnsi="Arial" w:cs="Arial"/>
                                      <w:color w:val="696969"/>
                                      <w:spacing w:val="0"/>
                                      <w:w w:val="100"/>
                                      <w:position w:val="0"/>
                                      <w:sz w:val="12"/>
                                      <w:szCs w:val="12"/>
                                      <w:shd w:val="clear" w:color="auto" w:fill="auto"/>
                                      <w:lang w:val="ru-RU" w:eastAsia="ru-RU" w:bidi="ru-RU"/>
                                    </w:rPr>
                                    <w:t>006В5СВ06272</w:t>
                                  </w:r>
                                  <w:r>
                                    <w:rPr>
                                      <w:rFonts w:ascii="Arial" w:eastAsia="Arial" w:hAnsi="Arial" w:cs="Arial"/>
                                      <w:color w:val="696969"/>
                                      <w:spacing w:val="0"/>
                                      <w:w w:val="100"/>
                                      <w:position w:val="0"/>
                                      <w:sz w:val="12"/>
                                      <w:szCs w:val="12"/>
                                      <w:shd w:val="clear" w:color="auto" w:fill="auto"/>
                                      <w:lang w:val="ru-RU" w:eastAsia="ru-RU" w:bidi="ru-RU"/>
                                    </w:rPr>
                                    <w:t>6</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w:t>
                                  </w:r>
                                  <w:r>
                                    <w:rPr>
                                      <w:rFonts w:ascii="Arial" w:eastAsia="Arial" w:hAnsi="Arial" w:cs="Arial"/>
                                      <w:color w:val="4C4C4C"/>
                                      <w:spacing w:val="0"/>
                                      <w:w w:val="100"/>
                                      <w:position w:val="0"/>
                                      <w:sz w:val="12"/>
                                      <w:szCs w:val="12"/>
                                      <w:shd w:val="clear" w:color="auto" w:fill="auto"/>
                                      <w:lang w:val="ru-RU" w:eastAsia="ru-RU" w:bidi="ru-RU"/>
                                    </w:rPr>
                                    <w:t xml:space="preserve">с </w:t>
                                  </w:r>
                                  <w:r>
                                    <w:rPr>
                                      <w:rFonts w:ascii="Arial" w:eastAsia="Arial" w:hAnsi="Arial" w:cs="Arial"/>
                                      <w:color w:val="696969"/>
                                      <w:spacing w:val="0"/>
                                      <w:w w:val="100"/>
                                      <w:position w:val="0"/>
                                      <w:sz w:val="12"/>
                                      <w:szCs w:val="12"/>
                                      <w:shd w:val="clear" w:color="auto" w:fill="auto"/>
                                      <w:lang w:val="ru-RU" w:eastAsia="ru-RU" w:bidi="ru-RU"/>
                                    </w:rPr>
                                    <w:t xml:space="preserve">09.03.2023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4C4C4C"/>
                                      <w:spacing w:val="0"/>
                                      <w:w w:val="100"/>
                                      <w:position w:val="0"/>
                                      <w:sz w:val="12"/>
                                      <w:szCs w:val="12"/>
                                      <w:shd w:val="clear" w:color="auto" w:fill="auto"/>
                                      <w:lang w:val="ru-RU" w:eastAsia="ru-RU" w:bidi="ru-RU"/>
                                    </w:rPr>
                                    <w:t>01.06.2024</w:t>
                                  </w:r>
                                </w:p>
                              </w:tc>
                            </w:tr>
                            <w:tr>
                              <w:trPr>
                                <w:trHeight w:val="154" w:hRule="exact"/>
                              </w:trPr>
                              <w:tc>
                                <w:tcPr>
                                  <w:gridSpan w:val="2"/>
                                  <w:tcBorders>
                                    <w:top w:val="single" w:sz="4"/>
                                  </w:tcBorders>
                                  <w:shd w:val="clear" w:color="auto" w:fill="auto"/>
                                  <w:vAlign w:val="top"/>
                                </w:tcPr>
                                <w:p>
                                  <w:pPr>
                                    <w:widowControl w:val="0"/>
                                    <w:rPr>
                                      <w:sz w:val="10"/>
                                      <w:szCs w:val="10"/>
                                    </w:rPr>
                                  </w:pPr>
                                </w:p>
                              </w:tc>
                            </w:tr>
                            <w:tr>
                              <w:trPr>
                                <w:trHeight w:val="658"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16" w:lineRule="auto"/>
                                    <w:ind w:left="0" w:right="0" w:firstLine="0"/>
                                    <w:jc w:val="center"/>
                                    <w:rPr>
                                      <w:sz w:val="12"/>
                                      <w:szCs w:val="12"/>
                                    </w:rPr>
                                  </w:pPr>
                                  <w:r>
                                    <w:rPr>
                                      <w:rFonts w:ascii="Georgia" w:eastAsia="Georgia" w:hAnsi="Georgia" w:cs="Georgia"/>
                                      <w:color w:val="000000"/>
                                      <w:spacing w:val="0"/>
                                      <w:w w:val="100"/>
                                      <w:position w:val="0"/>
                                      <w:sz w:val="12"/>
                                      <w:szCs w:val="12"/>
                                      <w:u w:val="single"/>
                                      <w:shd w:val="clear" w:color="auto" w:fill="auto"/>
                                      <w:lang w:val="ru-RU" w:eastAsia="ru-RU" w:bidi="ru-RU"/>
                                    </w:rPr>
                                    <w:t>жрйга</w:t>
                                  </w:r>
                                  <w:r>
                                    <w:rPr>
                                      <w:rFonts w:ascii="Georgia" w:eastAsia="Georgia" w:hAnsi="Georgia" w:cs="Georgia"/>
                                      <w:color w:val="000000"/>
                                      <w:spacing w:val="0"/>
                                      <w:w w:val="100"/>
                                      <w:position w:val="0"/>
                                      <w:sz w:val="12"/>
                                      <w:szCs w:val="12"/>
                                      <w:shd w:val="clear" w:color="auto" w:fill="auto"/>
                                      <w:lang w:val="ru-RU" w:eastAsia="ru-RU" w:bidi="ru-RU"/>
                                    </w:rPr>
                                    <w:t xml:space="preserve">в </w:t>
                                  </w:r>
                                  <w:r>
                                    <w:rPr>
                                      <w:color w:val="212121"/>
                                      <w:spacing w:val="0"/>
                                      <w:w w:val="100"/>
                                      <w:position w:val="0"/>
                                      <w:sz w:val="12"/>
                                      <w:szCs w:val="12"/>
                                      <w:shd w:val="clear" w:color="auto" w:fill="auto"/>
                                      <w:lang w:val="ru-RU" w:eastAsia="ru-RU" w:bidi="ru-RU"/>
                                    </w:rPr>
                                    <w:t>Подлинник электронного документа, подписанного</w:t>
                                  </w:r>
                                  <w:r>
                                    <w:rPr>
                                      <w:color w:val="212121"/>
                                      <w:spacing w:val="0"/>
                                      <w:w w:val="100"/>
                                      <w:position w:val="0"/>
                                      <w:sz w:val="12"/>
                                      <w:szCs w:val="12"/>
                                      <w:shd w:val="clear" w:color="auto" w:fill="auto"/>
                                      <w:lang w:val="ru-RU" w:eastAsia="ru-RU" w:bidi="ru-RU"/>
                                    </w:rPr>
                                    <w:t xml:space="preserve"> ЭП, хранится в системе электронного</w:t>
                                  </w:r>
                                </w:p>
                                <w:p>
                                  <w:pPr>
                                    <w:pStyle w:val="Style18"/>
                                    <w:keepNext w:val="0"/>
                                    <w:keepLines w:val="0"/>
                                    <w:widowControl w:val="0"/>
                                    <w:shd w:val="clear" w:color="auto" w:fill="auto"/>
                                    <w:tabs>
                                      <w:tab w:pos="514" w:val="left"/>
                                    </w:tabs>
                                    <w:bidi w:val="0"/>
                                    <w:spacing w:before="0" w:after="0" w:line="218" w:lineRule="auto"/>
                                    <w:ind w:left="0" w:right="0" w:firstLine="0"/>
                                    <w:jc w:val="both"/>
                                    <w:rPr>
                                      <w:sz w:val="12"/>
                                      <w:szCs w:val="12"/>
                                    </w:rPr>
                                  </w:pPr>
                                  <w:r>
                                    <w:rPr>
                                      <w:color w:val="212121"/>
                                      <w:spacing w:val="0"/>
                                      <w:w w:val="100"/>
                                      <w:position w:val="0"/>
                                      <w:sz w:val="12"/>
                                      <w:szCs w:val="12"/>
                                      <w:shd w:val="clear" w:color="auto" w:fill="auto"/>
                                      <w:lang w:val="ru-RU" w:eastAsia="ru-RU" w:bidi="ru-RU"/>
                                    </w:rPr>
                                    <w:t>ЗмС</w:t>
                                    <w:tab/>
                                    <w:t xml:space="preserve">документооборота </w:t>
                                  </w:r>
                                  <w:r>
                                    <w:rPr>
                                      <w:color w:val="000000"/>
                                      <w:spacing w:val="0"/>
                                      <w:w w:val="100"/>
                                      <w:position w:val="0"/>
                                      <w:sz w:val="12"/>
                                      <w:szCs w:val="12"/>
                                      <w:shd w:val="clear" w:color="auto" w:fill="auto"/>
                                      <w:lang w:val="ru-RU" w:eastAsia="ru-RU" w:bidi="ru-RU"/>
                                    </w:rPr>
                                    <w:t xml:space="preserve">ФАС </w:t>
                                  </w:r>
                                  <w:r>
                                    <w:rPr>
                                      <w:color w:val="212121"/>
                                      <w:spacing w:val="0"/>
                                      <w:w w:val="100"/>
                                      <w:position w:val="0"/>
                                      <w:sz w:val="12"/>
                                      <w:szCs w:val="12"/>
                                      <w:shd w:val="clear" w:color="auto" w:fill="auto"/>
                                      <w:lang w:val="ru-RU" w:eastAsia="ru-RU" w:bidi="ru-RU"/>
                                    </w:rPr>
                                    <w:t>России</w:t>
                                  </w:r>
                                </w:p>
                              </w:tc>
                              <w:tc>
                                <w:tcPr>
                                  <w:tcBorders>
                                    <w:top w:val="single" w:sz="4"/>
                                    <w:left w:val="single" w:sz="4"/>
                                    <w:right w:val="single" w:sz="4"/>
                                  </w:tcBorders>
                                  <w:shd w:val="clear" w:color="auto" w:fill="auto"/>
                                  <w:vAlign w:val="top"/>
                                </w:tcPr>
                                <w:p>
                                  <w:pPr>
                                    <w:widowControl w:val="0"/>
                                    <w:rPr>
                                      <w:sz w:val="10"/>
                                      <w:szCs w:val="10"/>
                                    </w:rPr>
                                  </w:pPr>
                                </w:p>
                              </w:tc>
                            </w:tr>
                            <w:tr>
                              <w:trPr>
                                <w:trHeight w:val="149" w:hRule="exact"/>
                              </w:trPr>
                              <w:tc>
                                <w:tcPr>
                                  <w:tcBorders>
                                    <w:left w:val="single" w:sz="4"/>
                                  </w:tcBorders>
                                  <w:shd w:val="clear" w:color="auto" w:fill="000000"/>
                                  <w:vAlign w:val="top"/>
                                </w:tcPr>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70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629" w:hRule="exact"/>
                              </w:trPr>
                              <w:tc>
                                <w:tcPr>
                                  <w:gridSpan w:val="2"/>
                                  <w:tcBorders>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9696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Парнищева Марина Михайловна</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4C4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C4C4C"/>
                                      <w:spacing w:val="0"/>
                                      <w:w w:val="100"/>
                                      <w:position w:val="0"/>
                                      <w:sz w:val="12"/>
                                      <w:szCs w:val="12"/>
                                      <w:shd w:val="clear" w:color="auto" w:fill="auto"/>
                                      <w:lang w:val="ru-RU" w:eastAsia="ru-RU" w:bidi="ru-RU"/>
                                    </w:rPr>
                                    <w:t>ООЕ937Е967В212А08Э4СВЕАОЕ14АС67СОЕ</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с </w:t>
                                  </w:r>
                                  <w:r>
                                    <w:rPr>
                                      <w:rFonts w:ascii="Arial" w:eastAsia="Arial" w:hAnsi="Arial" w:cs="Arial"/>
                                      <w:color w:val="4C4C4C"/>
                                      <w:spacing w:val="0"/>
                                      <w:w w:val="100"/>
                                      <w:position w:val="0"/>
                                      <w:sz w:val="12"/>
                                      <w:szCs w:val="12"/>
                                      <w:shd w:val="clear" w:color="auto" w:fill="auto"/>
                                      <w:lang w:val="ru-RU" w:eastAsia="ru-RU" w:bidi="ru-RU"/>
                                    </w:rPr>
                                    <w:t xml:space="preserve">09.06.2022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4C4C4C"/>
                                      <w:spacing w:val="0"/>
                                      <w:w w:val="100"/>
                                      <w:position w:val="0"/>
                                      <w:sz w:val="12"/>
                                      <w:szCs w:val="12"/>
                                      <w:shd w:val="clear" w:color="auto" w:fill="auto"/>
                                      <w:lang w:val="ru-RU" w:eastAsia="ru-RU" w:bidi="ru-RU"/>
                                    </w:rPr>
                                    <w:t>02.09.2023</w:t>
                                  </w:r>
                                </w:p>
                              </w:tc>
                            </w:tr>
                            <w:tr>
                              <w:trPr>
                                <w:trHeight w:val="154" w:hRule="exact"/>
                              </w:trPr>
                              <w:tc>
                                <w:tcPr>
                                  <w:gridSpan w:val="2"/>
                                  <w:tcBorders>
                                    <w:top w:val="single" w:sz="4"/>
                                  </w:tcBorders>
                                  <w:shd w:val="clear" w:color="auto" w:fill="auto"/>
                                  <w:vAlign w:val="top"/>
                                </w:tcPr>
                                <w:p>
                                  <w:pPr>
                                    <w:widowControl w:val="0"/>
                                    <w:rPr>
                                      <w:sz w:val="10"/>
                                      <w:szCs w:val="10"/>
                                    </w:rPr>
                                  </w:pPr>
                                </w:p>
                              </w:tc>
                            </w:tr>
                            <w:tr>
                              <w:trPr>
                                <w:trHeight w:val="662" w:hRule="exact"/>
                              </w:trPr>
                              <w:tc>
                                <w:tcPr>
                                  <w:gridSpan w:val="2"/>
                                  <w:tcBorders>
                                    <w:top w:val="single" w:sz="4"/>
                                    <w:left w:val="single" w:sz="4"/>
                                    <w:right w:val="single" w:sz="4"/>
                                  </w:tcBorders>
                                  <w:shd w:val="clear" w:color="auto" w:fill="auto"/>
                                  <w:vAlign w:val="center"/>
                                </w:tcPr>
                                <w:p>
                                  <w:pPr>
                                    <w:pStyle w:val="Style18"/>
                                    <w:keepNext w:val="0"/>
                                    <w:keepLines w:val="0"/>
                                    <w:widowControl w:val="0"/>
                                    <w:shd w:val="clear" w:color="auto" w:fill="auto"/>
                                    <w:tabs>
                                      <w:tab w:pos="624" w:val="left"/>
                                    </w:tabs>
                                    <w:bidi w:val="0"/>
                                    <w:spacing w:before="0" w:after="0" w:line="218" w:lineRule="auto"/>
                                    <w:ind w:left="0" w:right="0" w:firstLine="640"/>
                                    <w:jc w:val="left"/>
                                    <w:rPr>
                                      <w:sz w:val="12"/>
                                      <w:szCs w:val="12"/>
                                    </w:rPr>
                                  </w:pPr>
                                  <w:r>
                                    <w:rPr>
                                      <w:color w:val="212121"/>
                                      <w:spacing w:val="0"/>
                                      <w:w w:val="100"/>
                                      <w:position w:val="0"/>
                                      <w:sz w:val="12"/>
                                      <w:szCs w:val="12"/>
                                      <w:shd w:val="clear" w:color="auto" w:fill="auto"/>
                                      <w:lang w:val="ru-RU" w:eastAsia="ru-RU" w:bidi="ru-RU"/>
                                    </w:rPr>
                                    <w:t xml:space="preserve">Подлинник электронного документа, подписанного чИИрР </w:t>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хранится в системе электронного ЗмК</w:t>
                                    <w:tab/>
                                    <w:t>документооборота ФАС России</w:t>
                                  </w:r>
                                </w:p>
                              </w:tc>
                            </w:tr>
                            <w:tr>
                              <w:trPr>
                                <w:trHeight w:val="139" w:hRule="exact"/>
                              </w:trPr>
                              <w:tc>
                                <w:tcPr>
                                  <w:tcBorders>
                                    <w:left w:val="single" w:sz="4"/>
                                  </w:tcBorders>
                                  <w:shd w:val="clear" w:color="auto" w:fill="000000"/>
                                  <w:vAlign w:val="top"/>
                                </w:tcPr>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70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557" w:hRule="exact"/>
                              </w:trPr>
                              <w:tc>
                                <w:tcPr>
                                  <w:gridSpan w:val="2"/>
                                  <w:tcBorders>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9696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Левченко Иван Игоревич</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4C4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C4C4C"/>
                                      <w:spacing w:val="0"/>
                                      <w:w w:val="100"/>
                                      <w:position w:val="0"/>
                                      <w:sz w:val="12"/>
                                      <w:szCs w:val="12"/>
                                      <w:shd w:val="clear" w:color="auto" w:fill="auto"/>
                                      <w:lang w:val="ru-RU" w:eastAsia="ru-RU" w:bidi="ru-RU"/>
                                    </w:rPr>
                                    <w:t>00С17Е56082ЕЕ0Е027ОВВВЗЕЕЕ0492Е91</w:t>
                                  </w:r>
                                  <w:r>
                                    <w:rPr>
                                      <w:rFonts w:ascii="Arial" w:eastAsia="Arial" w:hAnsi="Arial" w:cs="Arial"/>
                                      <w:color w:val="696969"/>
                                      <w:spacing w:val="0"/>
                                      <w:w w:val="100"/>
                                      <w:position w:val="0"/>
                                      <w:sz w:val="12"/>
                                      <w:szCs w:val="12"/>
                                      <w:shd w:val="clear" w:color="auto" w:fill="auto"/>
                                      <w:lang w:val="ru-RU" w:eastAsia="ru-RU" w:bidi="ru-RU"/>
                                    </w:rPr>
                                    <w:t>1</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w:t>
                                  </w:r>
                                  <w:r>
                                    <w:rPr>
                                      <w:rFonts w:ascii="Arial" w:eastAsia="Arial" w:hAnsi="Arial" w:cs="Arial"/>
                                      <w:color w:val="212121"/>
                                      <w:spacing w:val="0"/>
                                      <w:w w:val="100"/>
                                      <w:position w:val="0"/>
                                      <w:sz w:val="12"/>
                                      <w:szCs w:val="12"/>
                                      <w:shd w:val="clear" w:color="auto" w:fill="auto"/>
                                      <w:lang w:val="ru-RU" w:eastAsia="ru-RU" w:bidi="ru-RU"/>
                                    </w:rPr>
                                    <w:t xml:space="preserve">с </w:t>
                                  </w:r>
                                  <w:r>
                                    <w:rPr>
                                      <w:rFonts w:ascii="Arial" w:eastAsia="Arial" w:hAnsi="Arial" w:cs="Arial"/>
                                      <w:color w:val="4C4C4C"/>
                                      <w:spacing w:val="0"/>
                                      <w:w w:val="100"/>
                                      <w:position w:val="0"/>
                                      <w:sz w:val="12"/>
                                      <w:szCs w:val="12"/>
                                      <w:shd w:val="clear" w:color="auto" w:fill="auto"/>
                                      <w:lang w:val="ru-RU" w:eastAsia="ru-RU" w:bidi="ru-RU"/>
                                    </w:rPr>
                                    <w:t xml:space="preserve">05.04.2023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212121"/>
                                      <w:spacing w:val="0"/>
                                      <w:w w:val="100"/>
                                      <w:position w:val="0"/>
                                      <w:sz w:val="12"/>
                                      <w:szCs w:val="12"/>
                                      <w:shd w:val="clear" w:color="auto" w:fill="auto"/>
                                      <w:lang w:val="ru-RU" w:eastAsia="ru-RU" w:bidi="ru-RU"/>
                                    </w:rPr>
                                    <w:t>28.06.2024</w:t>
                                  </w:r>
                                </w:p>
                              </w:tc>
                            </w:tr>
                          </w:tbl>
                          <w:p>
                            <w:pPr>
                              <w:widowControl w:val="0"/>
                              <w:spacing w:line="1" w:lineRule="exact"/>
                            </w:pPr>
                          </w:p>
                        </w:txbxContent>
                      </wps:txbx>
                      <wps:bodyPr lIns="0" tIns="0" rIns="0" bIns="0">
                        <a:noAutoFit/>
                      </wps:bodyPr>
                    </wps:wsp>
                  </a:graphicData>
                </a:graphic>
              </wp:anchor>
            </w:drawing>
          </mc:Choice>
          <mc:Fallback>
            <w:pict>
              <v:shape id="_x0000_s1038" type="#_x0000_t202" style="position:absolute;margin-left:210.15000000000001pt;margin-top:36.200000000000003pt;width:173.75pt;height:218.90000000000001pt;z-index:-125829369;mso-wrap-distance-left:0;mso-wrap-distance-top:36.200000000000003pt;mso-wrap-distance-right:0;mso-position-horizontal-relative:page" filled="f" stroked="f">
                <v:textbox inset="0,0,0,0">
                  <w:txbxContent>
                    <w:tbl>
                      <w:tblPr>
                        <w:tblOverlap w:val="never"/>
                        <w:jc w:val="left"/>
                        <w:tblLayout w:type="fixed"/>
                      </w:tblPr>
                      <w:tblGrid>
                        <w:gridCol w:w="3394"/>
                        <w:gridCol w:w="82"/>
                      </w:tblGrid>
                      <w:tr>
                        <w:trPr>
                          <w:tblHeader/>
                          <w:trHeight w:val="509" w:hRule="exact"/>
                        </w:trPr>
                        <w:tc>
                          <w:tcPr>
                            <w:gridSpan w:val="2"/>
                            <w:tcBorders>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640"/>
                              <w:jc w:val="left"/>
                              <w:rPr>
                                <w:sz w:val="12"/>
                                <w:szCs w:val="12"/>
                              </w:rPr>
                            </w:pPr>
                            <w:r>
                              <w:rPr>
                                <w:color w:val="212121"/>
                                <w:spacing w:val="0"/>
                                <w:w w:val="100"/>
                                <w:position w:val="0"/>
                                <w:sz w:val="12"/>
                                <w:szCs w:val="12"/>
                                <w:shd w:val="clear" w:color="auto" w:fill="auto"/>
                                <w:lang w:val="ru-RU" w:eastAsia="ru-RU" w:bidi="ru-RU"/>
                              </w:rPr>
                              <w:t>Подлинник электронного документа, подписанного</w:t>
                            </w:r>
                          </w:p>
                          <w:p>
                            <w:pPr>
                              <w:pStyle w:val="Style18"/>
                              <w:keepNext w:val="0"/>
                              <w:keepLines w:val="0"/>
                              <w:widowControl w:val="0"/>
                              <w:shd w:val="clear" w:color="auto" w:fill="auto"/>
                              <w:tabs>
                                <w:tab w:pos="614" w:val="left"/>
                              </w:tabs>
                              <w:bidi w:val="0"/>
                              <w:spacing w:before="0" w:after="0" w:line="216" w:lineRule="auto"/>
                              <w:ind w:left="0" w:right="0" w:firstLine="0"/>
                              <w:jc w:val="left"/>
                              <w:rPr>
                                <w:sz w:val="12"/>
                                <w:szCs w:val="12"/>
                              </w:rPr>
                            </w:pPr>
                            <w:r>
                              <w:rPr>
                                <w:color w:val="212121"/>
                                <w:spacing w:val="0"/>
                                <w:w w:val="100"/>
                                <w:position w:val="0"/>
                                <w:sz w:val="12"/>
                                <w:szCs w:val="12"/>
                                <w:shd w:val="clear" w:color="auto" w:fill="auto"/>
                                <w:lang w:val="ru-RU" w:eastAsia="ru-RU" w:bidi="ru-RU"/>
                              </w:rPr>
                              <w:t>ЖгаиР</w:t>
                              <w:tab/>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хранится в системе электронного</w:t>
                            </w:r>
                          </w:p>
                          <w:p>
                            <w:pPr>
                              <w:pStyle w:val="Style18"/>
                              <w:keepNext w:val="0"/>
                              <w:keepLines w:val="0"/>
                              <w:widowControl w:val="0"/>
                              <w:shd w:val="clear" w:color="auto" w:fill="auto"/>
                              <w:tabs>
                                <w:tab w:pos="490" w:val="left"/>
                              </w:tabs>
                              <w:bidi w:val="0"/>
                              <w:spacing w:before="0" w:after="0" w:line="209" w:lineRule="auto"/>
                              <w:ind w:left="0" w:right="0" w:firstLine="0"/>
                              <w:jc w:val="left"/>
                              <w:rPr>
                                <w:sz w:val="12"/>
                                <w:szCs w:val="12"/>
                              </w:rPr>
                            </w:pPr>
                            <w:r>
                              <w:rPr>
                                <w:color w:val="212121"/>
                                <w:spacing w:val="0"/>
                                <w:w w:val="100"/>
                                <w:position w:val="0"/>
                                <w:sz w:val="12"/>
                                <w:szCs w:val="12"/>
                                <w:shd w:val="clear" w:color="auto" w:fill="auto"/>
                                <w:lang w:val="ru-RU" w:eastAsia="ru-RU" w:bidi="ru-RU"/>
                              </w:rPr>
                              <w:t>Зм&amp;</w:t>
                              <w:tab/>
                              <w:t>документооборота ФАС России</w:t>
                            </w:r>
                          </w:p>
                        </w:tc>
                      </w:tr>
                      <w:tr>
                        <w:trPr>
                          <w:trHeight w:val="139" w:hRule="exact"/>
                        </w:trPr>
                        <w:tc>
                          <w:tcPr>
                            <w:tcBorders>
                              <w:left w:val="single" w:sz="4"/>
                            </w:tcBorders>
                            <w:shd w:val="clear" w:color="auto" w:fill="000000"/>
                            <w:vAlign w:val="top"/>
                          </w:tcPr>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70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629" w:hRule="exact"/>
                        </w:trPr>
                        <w:tc>
                          <w:tcPr>
                            <w:gridSpan w:val="2"/>
                            <w:tcBorders>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9696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Горячева Наталья Васильевна</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4C4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C4C4C"/>
                                <w:spacing w:val="0"/>
                                <w:w w:val="100"/>
                                <w:position w:val="0"/>
                                <w:sz w:val="12"/>
                                <w:szCs w:val="12"/>
                                <w:shd w:val="clear" w:color="auto" w:fill="auto"/>
                                <w:lang w:val="ru-RU" w:eastAsia="ru-RU" w:bidi="ru-RU"/>
                              </w:rPr>
                              <w:t>00Е23585А79ЕЗЭ4241</w:t>
                            </w:r>
                            <w:r>
                              <w:rPr>
                                <w:rFonts w:ascii="Arial" w:eastAsia="Arial" w:hAnsi="Arial" w:cs="Arial"/>
                                <w:color w:val="000000"/>
                                <w:spacing w:val="0"/>
                                <w:w w:val="100"/>
                                <w:position w:val="0"/>
                                <w:sz w:val="12"/>
                                <w:szCs w:val="12"/>
                                <w:shd w:val="clear" w:color="auto" w:fill="auto"/>
                                <w:lang w:val="ru-RU" w:eastAsia="ru-RU" w:bidi="ru-RU"/>
                              </w:rPr>
                              <w:t>АС1</w:t>
                            </w:r>
                            <w:r>
                              <w:rPr>
                                <w:rFonts w:ascii="Arial" w:eastAsia="Arial" w:hAnsi="Arial" w:cs="Arial"/>
                                <w:color w:val="696969"/>
                                <w:spacing w:val="0"/>
                                <w:w w:val="100"/>
                                <w:position w:val="0"/>
                                <w:sz w:val="12"/>
                                <w:szCs w:val="12"/>
                                <w:shd w:val="clear" w:color="auto" w:fill="auto"/>
                                <w:lang w:val="ru-RU" w:eastAsia="ru-RU" w:bidi="ru-RU"/>
                              </w:rPr>
                              <w:t>006В5СВ06272</w:t>
                            </w:r>
                            <w:r>
                              <w:rPr>
                                <w:rFonts w:ascii="Arial" w:eastAsia="Arial" w:hAnsi="Arial" w:cs="Arial"/>
                                <w:color w:val="696969"/>
                                <w:spacing w:val="0"/>
                                <w:w w:val="100"/>
                                <w:position w:val="0"/>
                                <w:sz w:val="12"/>
                                <w:szCs w:val="12"/>
                                <w:shd w:val="clear" w:color="auto" w:fill="auto"/>
                                <w:lang w:val="ru-RU" w:eastAsia="ru-RU" w:bidi="ru-RU"/>
                              </w:rPr>
                              <w:t>6</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w:t>
                            </w:r>
                            <w:r>
                              <w:rPr>
                                <w:rFonts w:ascii="Arial" w:eastAsia="Arial" w:hAnsi="Arial" w:cs="Arial"/>
                                <w:color w:val="4C4C4C"/>
                                <w:spacing w:val="0"/>
                                <w:w w:val="100"/>
                                <w:position w:val="0"/>
                                <w:sz w:val="12"/>
                                <w:szCs w:val="12"/>
                                <w:shd w:val="clear" w:color="auto" w:fill="auto"/>
                                <w:lang w:val="ru-RU" w:eastAsia="ru-RU" w:bidi="ru-RU"/>
                              </w:rPr>
                              <w:t xml:space="preserve">с </w:t>
                            </w:r>
                            <w:r>
                              <w:rPr>
                                <w:rFonts w:ascii="Arial" w:eastAsia="Arial" w:hAnsi="Arial" w:cs="Arial"/>
                                <w:color w:val="696969"/>
                                <w:spacing w:val="0"/>
                                <w:w w:val="100"/>
                                <w:position w:val="0"/>
                                <w:sz w:val="12"/>
                                <w:szCs w:val="12"/>
                                <w:shd w:val="clear" w:color="auto" w:fill="auto"/>
                                <w:lang w:val="ru-RU" w:eastAsia="ru-RU" w:bidi="ru-RU"/>
                              </w:rPr>
                              <w:t xml:space="preserve">09.03.2023 </w:t>
                            </w:r>
                            <w:r>
                              <w:rPr>
                                <w:rFonts w:ascii="Arial" w:eastAsia="Arial" w:hAnsi="Arial" w:cs="Arial"/>
                                <w:color w:val="000000"/>
                                <w:spacing w:val="0"/>
                                <w:w w:val="100"/>
                                <w:position w:val="0"/>
                                <w:sz w:val="12"/>
                                <w:szCs w:val="12"/>
                                <w:shd w:val="clear" w:color="auto" w:fill="auto"/>
                                <w:lang w:val="ru-RU" w:eastAsia="ru-RU" w:bidi="ru-RU"/>
                              </w:rPr>
                              <w:t xml:space="preserve">по </w:t>
                            </w:r>
                            <w:r>
                              <w:rPr>
                                <w:rFonts w:ascii="Arial" w:eastAsia="Arial" w:hAnsi="Arial" w:cs="Arial"/>
                                <w:color w:val="4C4C4C"/>
                                <w:spacing w:val="0"/>
                                <w:w w:val="100"/>
                                <w:position w:val="0"/>
                                <w:sz w:val="12"/>
                                <w:szCs w:val="12"/>
                                <w:shd w:val="clear" w:color="auto" w:fill="auto"/>
                                <w:lang w:val="ru-RU" w:eastAsia="ru-RU" w:bidi="ru-RU"/>
                              </w:rPr>
                              <w:t>01.06.2024</w:t>
                            </w:r>
                          </w:p>
                        </w:tc>
                      </w:tr>
                      <w:tr>
                        <w:trPr>
                          <w:trHeight w:val="154" w:hRule="exact"/>
                        </w:trPr>
                        <w:tc>
                          <w:tcPr>
                            <w:gridSpan w:val="2"/>
                            <w:tcBorders>
                              <w:top w:val="single" w:sz="4"/>
                            </w:tcBorders>
                            <w:shd w:val="clear" w:color="auto" w:fill="auto"/>
                            <w:vAlign w:val="top"/>
                          </w:tcPr>
                          <w:p>
                            <w:pPr>
                              <w:widowControl w:val="0"/>
                              <w:rPr>
                                <w:sz w:val="10"/>
                                <w:szCs w:val="10"/>
                              </w:rPr>
                            </w:pPr>
                          </w:p>
                        </w:tc>
                      </w:tr>
                      <w:tr>
                        <w:trPr>
                          <w:trHeight w:val="658"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16" w:lineRule="auto"/>
                              <w:ind w:left="0" w:right="0" w:firstLine="0"/>
                              <w:jc w:val="center"/>
                              <w:rPr>
                                <w:sz w:val="12"/>
                                <w:szCs w:val="12"/>
                              </w:rPr>
                            </w:pPr>
                            <w:r>
                              <w:rPr>
                                <w:rFonts w:ascii="Georgia" w:eastAsia="Georgia" w:hAnsi="Georgia" w:cs="Georgia"/>
                                <w:color w:val="000000"/>
                                <w:spacing w:val="0"/>
                                <w:w w:val="100"/>
                                <w:position w:val="0"/>
                                <w:sz w:val="12"/>
                                <w:szCs w:val="12"/>
                                <w:u w:val="single"/>
                                <w:shd w:val="clear" w:color="auto" w:fill="auto"/>
                                <w:lang w:val="ru-RU" w:eastAsia="ru-RU" w:bidi="ru-RU"/>
                              </w:rPr>
                              <w:t>жрйга</w:t>
                            </w:r>
                            <w:r>
                              <w:rPr>
                                <w:rFonts w:ascii="Georgia" w:eastAsia="Georgia" w:hAnsi="Georgia" w:cs="Georgia"/>
                                <w:color w:val="000000"/>
                                <w:spacing w:val="0"/>
                                <w:w w:val="100"/>
                                <w:position w:val="0"/>
                                <w:sz w:val="12"/>
                                <w:szCs w:val="12"/>
                                <w:shd w:val="clear" w:color="auto" w:fill="auto"/>
                                <w:lang w:val="ru-RU" w:eastAsia="ru-RU" w:bidi="ru-RU"/>
                              </w:rPr>
                              <w:t xml:space="preserve">в </w:t>
                            </w:r>
                            <w:r>
                              <w:rPr>
                                <w:color w:val="212121"/>
                                <w:spacing w:val="0"/>
                                <w:w w:val="100"/>
                                <w:position w:val="0"/>
                                <w:sz w:val="12"/>
                                <w:szCs w:val="12"/>
                                <w:shd w:val="clear" w:color="auto" w:fill="auto"/>
                                <w:lang w:val="ru-RU" w:eastAsia="ru-RU" w:bidi="ru-RU"/>
                              </w:rPr>
                              <w:t>Подлинник электронного документа, подписанного</w:t>
                            </w:r>
                            <w:r>
                              <w:rPr>
                                <w:color w:val="212121"/>
                                <w:spacing w:val="0"/>
                                <w:w w:val="100"/>
                                <w:position w:val="0"/>
                                <w:sz w:val="12"/>
                                <w:szCs w:val="12"/>
                                <w:shd w:val="clear" w:color="auto" w:fill="auto"/>
                                <w:lang w:val="ru-RU" w:eastAsia="ru-RU" w:bidi="ru-RU"/>
                              </w:rPr>
                              <w:t xml:space="preserve"> ЭП, хранится в системе электронного</w:t>
                            </w:r>
                          </w:p>
                          <w:p>
                            <w:pPr>
                              <w:pStyle w:val="Style18"/>
                              <w:keepNext w:val="0"/>
                              <w:keepLines w:val="0"/>
                              <w:widowControl w:val="0"/>
                              <w:shd w:val="clear" w:color="auto" w:fill="auto"/>
                              <w:tabs>
                                <w:tab w:pos="514" w:val="left"/>
                              </w:tabs>
                              <w:bidi w:val="0"/>
                              <w:spacing w:before="0" w:after="0" w:line="218" w:lineRule="auto"/>
                              <w:ind w:left="0" w:right="0" w:firstLine="0"/>
                              <w:jc w:val="both"/>
                              <w:rPr>
                                <w:sz w:val="12"/>
                                <w:szCs w:val="12"/>
                              </w:rPr>
                            </w:pPr>
                            <w:r>
                              <w:rPr>
                                <w:color w:val="212121"/>
                                <w:spacing w:val="0"/>
                                <w:w w:val="100"/>
                                <w:position w:val="0"/>
                                <w:sz w:val="12"/>
                                <w:szCs w:val="12"/>
                                <w:shd w:val="clear" w:color="auto" w:fill="auto"/>
                                <w:lang w:val="ru-RU" w:eastAsia="ru-RU" w:bidi="ru-RU"/>
                              </w:rPr>
                              <w:t>ЗмС</w:t>
                              <w:tab/>
                              <w:t xml:space="preserve">документооборота </w:t>
                            </w:r>
                            <w:r>
                              <w:rPr>
                                <w:color w:val="000000"/>
                                <w:spacing w:val="0"/>
                                <w:w w:val="100"/>
                                <w:position w:val="0"/>
                                <w:sz w:val="12"/>
                                <w:szCs w:val="12"/>
                                <w:shd w:val="clear" w:color="auto" w:fill="auto"/>
                                <w:lang w:val="ru-RU" w:eastAsia="ru-RU" w:bidi="ru-RU"/>
                              </w:rPr>
                              <w:t xml:space="preserve">ФАС </w:t>
                            </w:r>
                            <w:r>
                              <w:rPr>
                                <w:color w:val="212121"/>
                                <w:spacing w:val="0"/>
                                <w:w w:val="100"/>
                                <w:position w:val="0"/>
                                <w:sz w:val="12"/>
                                <w:szCs w:val="12"/>
                                <w:shd w:val="clear" w:color="auto" w:fill="auto"/>
                                <w:lang w:val="ru-RU" w:eastAsia="ru-RU" w:bidi="ru-RU"/>
                              </w:rPr>
                              <w:t>России</w:t>
                            </w:r>
                          </w:p>
                        </w:tc>
                        <w:tc>
                          <w:tcPr>
                            <w:tcBorders>
                              <w:top w:val="single" w:sz="4"/>
                              <w:left w:val="single" w:sz="4"/>
                              <w:right w:val="single" w:sz="4"/>
                            </w:tcBorders>
                            <w:shd w:val="clear" w:color="auto" w:fill="auto"/>
                            <w:vAlign w:val="top"/>
                          </w:tcPr>
                          <w:p>
                            <w:pPr>
                              <w:widowControl w:val="0"/>
                              <w:rPr>
                                <w:sz w:val="10"/>
                                <w:szCs w:val="10"/>
                              </w:rPr>
                            </w:pPr>
                          </w:p>
                        </w:tc>
                      </w:tr>
                      <w:tr>
                        <w:trPr>
                          <w:trHeight w:val="149" w:hRule="exact"/>
                        </w:trPr>
                        <w:tc>
                          <w:tcPr>
                            <w:tcBorders>
                              <w:left w:val="single" w:sz="4"/>
                            </w:tcBorders>
                            <w:shd w:val="clear" w:color="auto" w:fill="000000"/>
                            <w:vAlign w:val="top"/>
                          </w:tcPr>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70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629" w:hRule="exact"/>
                        </w:trPr>
                        <w:tc>
                          <w:tcPr>
                            <w:gridSpan w:val="2"/>
                            <w:tcBorders>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9696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Парнищева Марина Михайловна</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4C4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C4C4C"/>
                                <w:spacing w:val="0"/>
                                <w:w w:val="100"/>
                                <w:position w:val="0"/>
                                <w:sz w:val="12"/>
                                <w:szCs w:val="12"/>
                                <w:shd w:val="clear" w:color="auto" w:fill="auto"/>
                                <w:lang w:val="ru-RU" w:eastAsia="ru-RU" w:bidi="ru-RU"/>
                              </w:rPr>
                              <w:t>ООЕ937Е967В212А08Э4СВЕАОЕ14АС67СОЕ</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с </w:t>
                            </w:r>
                            <w:r>
                              <w:rPr>
                                <w:rFonts w:ascii="Arial" w:eastAsia="Arial" w:hAnsi="Arial" w:cs="Arial"/>
                                <w:color w:val="4C4C4C"/>
                                <w:spacing w:val="0"/>
                                <w:w w:val="100"/>
                                <w:position w:val="0"/>
                                <w:sz w:val="12"/>
                                <w:szCs w:val="12"/>
                                <w:shd w:val="clear" w:color="auto" w:fill="auto"/>
                                <w:lang w:val="ru-RU" w:eastAsia="ru-RU" w:bidi="ru-RU"/>
                              </w:rPr>
                              <w:t xml:space="preserve">09.06.2022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4C4C4C"/>
                                <w:spacing w:val="0"/>
                                <w:w w:val="100"/>
                                <w:position w:val="0"/>
                                <w:sz w:val="12"/>
                                <w:szCs w:val="12"/>
                                <w:shd w:val="clear" w:color="auto" w:fill="auto"/>
                                <w:lang w:val="ru-RU" w:eastAsia="ru-RU" w:bidi="ru-RU"/>
                              </w:rPr>
                              <w:t>02.09.2023</w:t>
                            </w:r>
                          </w:p>
                        </w:tc>
                      </w:tr>
                      <w:tr>
                        <w:trPr>
                          <w:trHeight w:val="154" w:hRule="exact"/>
                        </w:trPr>
                        <w:tc>
                          <w:tcPr>
                            <w:gridSpan w:val="2"/>
                            <w:tcBorders>
                              <w:top w:val="single" w:sz="4"/>
                            </w:tcBorders>
                            <w:shd w:val="clear" w:color="auto" w:fill="auto"/>
                            <w:vAlign w:val="top"/>
                          </w:tcPr>
                          <w:p>
                            <w:pPr>
                              <w:widowControl w:val="0"/>
                              <w:rPr>
                                <w:sz w:val="10"/>
                                <w:szCs w:val="10"/>
                              </w:rPr>
                            </w:pPr>
                          </w:p>
                        </w:tc>
                      </w:tr>
                      <w:tr>
                        <w:trPr>
                          <w:trHeight w:val="662" w:hRule="exact"/>
                        </w:trPr>
                        <w:tc>
                          <w:tcPr>
                            <w:gridSpan w:val="2"/>
                            <w:tcBorders>
                              <w:top w:val="single" w:sz="4"/>
                              <w:left w:val="single" w:sz="4"/>
                              <w:right w:val="single" w:sz="4"/>
                            </w:tcBorders>
                            <w:shd w:val="clear" w:color="auto" w:fill="auto"/>
                            <w:vAlign w:val="center"/>
                          </w:tcPr>
                          <w:p>
                            <w:pPr>
                              <w:pStyle w:val="Style18"/>
                              <w:keepNext w:val="0"/>
                              <w:keepLines w:val="0"/>
                              <w:widowControl w:val="0"/>
                              <w:shd w:val="clear" w:color="auto" w:fill="auto"/>
                              <w:tabs>
                                <w:tab w:pos="624" w:val="left"/>
                              </w:tabs>
                              <w:bidi w:val="0"/>
                              <w:spacing w:before="0" w:after="0" w:line="218" w:lineRule="auto"/>
                              <w:ind w:left="0" w:right="0" w:firstLine="640"/>
                              <w:jc w:val="left"/>
                              <w:rPr>
                                <w:sz w:val="12"/>
                                <w:szCs w:val="12"/>
                              </w:rPr>
                            </w:pPr>
                            <w:r>
                              <w:rPr>
                                <w:color w:val="212121"/>
                                <w:spacing w:val="0"/>
                                <w:w w:val="100"/>
                                <w:position w:val="0"/>
                                <w:sz w:val="12"/>
                                <w:szCs w:val="12"/>
                                <w:shd w:val="clear" w:color="auto" w:fill="auto"/>
                                <w:lang w:val="ru-RU" w:eastAsia="ru-RU" w:bidi="ru-RU"/>
                              </w:rPr>
                              <w:t xml:space="preserve">Подлинник электронного документа, подписанного чИИрР </w:t>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хранится в системе электронного ЗмК</w:t>
                              <w:tab/>
                              <w:t>документооборота ФАС России</w:t>
                            </w:r>
                          </w:p>
                        </w:tc>
                      </w:tr>
                      <w:tr>
                        <w:trPr>
                          <w:trHeight w:val="139" w:hRule="exact"/>
                        </w:trPr>
                        <w:tc>
                          <w:tcPr>
                            <w:tcBorders>
                              <w:left w:val="single" w:sz="4"/>
                            </w:tcBorders>
                            <w:shd w:val="clear" w:color="auto" w:fill="000000"/>
                            <w:vAlign w:val="top"/>
                          </w:tcPr>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700"/>
                              <w:jc w:val="left"/>
                              <w:rPr>
                                <w:sz w:val="12"/>
                                <w:szCs w:val="12"/>
                              </w:rPr>
                            </w:pPr>
                            <w:r>
                              <w:rPr>
                                <w:rFonts w:ascii="Georgia" w:eastAsia="Georgia" w:hAnsi="Georgia" w:cs="Georgia"/>
                                <w:color w:val="E9E9E9"/>
                                <w:spacing w:val="0"/>
                                <w:w w:val="100"/>
                                <w:position w:val="0"/>
                                <w:sz w:val="12"/>
                                <w:szCs w:val="12"/>
                                <w:shd w:val="clear" w:color="auto" w:fill="auto"/>
                                <w:lang w:val="ru-RU" w:eastAsia="ru-RU" w:bidi="ru-RU"/>
                              </w:rPr>
                              <w:t>СВЕДЕНИЯ О СЕРТИФИКАТЕ ЭП</w:t>
                            </w:r>
                          </w:p>
                        </w:tc>
                        <w:tc>
                          <w:tcPr>
                            <w:tcBorders>
                              <w:left w:val="single" w:sz="4"/>
                              <w:right w:val="single" w:sz="4"/>
                            </w:tcBorders>
                            <w:shd w:val="clear" w:color="auto" w:fill="auto"/>
                            <w:vAlign w:val="top"/>
                          </w:tcPr>
                          <w:p>
                            <w:pPr>
                              <w:widowControl w:val="0"/>
                              <w:rPr>
                                <w:sz w:val="10"/>
                                <w:szCs w:val="10"/>
                              </w:rPr>
                            </w:pPr>
                          </w:p>
                        </w:tc>
                      </w:tr>
                      <w:tr>
                        <w:trPr>
                          <w:trHeight w:val="557" w:hRule="exact"/>
                        </w:trPr>
                        <w:tc>
                          <w:tcPr>
                            <w:gridSpan w:val="2"/>
                            <w:tcBorders>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96969"/>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Левченко Иван Игоревич</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C4C4C"/>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C4C4C"/>
                                <w:spacing w:val="0"/>
                                <w:w w:val="100"/>
                                <w:position w:val="0"/>
                                <w:sz w:val="12"/>
                                <w:szCs w:val="12"/>
                                <w:shd w:val="clear" w:color="auto" w:fill="auto"/>
                                <w:lang w:val="ru-RU" w:eastAsia="ru-RU" w:bidi="ru-RU"/>
                              </w:rPr>
                              <w:t>00С17Е56082ЕЕ0Е027ОВВВЗЕЕЕ0492Е91</w:t>
                            </w:r>
                            <w:r>
                              <w:rPr>
                                <w:rFonts w:ascii="Arial" w:eastAsia="Arial" w:hAnsi="Arial" w:cs="Arial"/>
                                <w:color w:val="696969"/>
                                <w:spacing w:val="0"/>
                                <w:w w:val="100"/>
                                <w:position w:val="0"/>
                                <w:sz w:val="12"/>
                                <w:szCs w:val="12"/>
                                <w:shd w:val="clear" w:color="auto" w:fill="auto"/>
                                <w:lang w:val="ru-RU" w:eastAsia="ru-RU" w:bidi="ru-RU"/>
                              </w:rPr>
                              <w:t>1</w:t>
                            </w:r>
                          </w:p>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96969"/>
                                <w:spacing w:val="0"/>
                                <w:w w:val="100"/>
                                <w:position w:val="0"/>
                                <w:sz w:val="12"/>
                                <w:szCs w:val="12"/>
                                <w:shd w:val="clear" w:color="auto" w:fill="auto"/>
                                <w:lang w:val="ru-RU" w:eastAsia="ru-RU" w:bidi="ru-RU"/>
                              </w:rPr>
                              <w:t xml:space="preserve">Действителен </w:t>
                            </w:r>
                            <w:r>
                              <w:rPr>
                                <w:rFonts w:ascii="Arial" w:eastAsia="Arial" w:hAnsi="Arial" w:cs="Arial"/>
                                <w:color w:val="212121"/>
                                <w:spacing w:val="0"/>
                                <w:w w:val="100"/>
                                <w:position w:val="0"/>
                                <w:sz w:val="12"/>
                                <w:szCs w:val="12"/>
                                <w:shd w:val="clear" w:color="auto" w:fill="auto"/>
                                <w:lang w:val="ru-RU" w:eastAsia="ru-RU" w:bidi="ru-RU"/>
                              </w:rPr>
                              <w:t xml:space="preserve">с </w:t>
                            </w:r>
                            <w:r>
                              <w:rPr>
                                <w:rFonts w:ascii="Arial" w:eastAsia="Arial" w:hAnsi="Arial" w:cs="Arial"/>
                                <w:color w:val="4C4C4C"/>
                                <w:spacing w:val="0"/>
                                <w:w w:val="100"/>
                                <w:position w:val="0"/>
                                <w:sz w:val="12"/>
                                <w:szCs w:val="12"/>
                                <w:shd w:val="clear" w:color="auto" w:fill="auto"/>
                                <w:lang w:val="ru-RU" w:eastAsia="ru-RU" w:bidi="ru-RU"/>
                              </w:rPr>
                              <w:t xml:space="preserve">05.04.2023 </w:t>
                            </w:r>
                            <w:r>
                              <w:rPr>
                                <w:rFonts w:ascii="Arial" w:eastAsia="Arial" w:hAnsi="Arial" w:cs="Arial"/>
                                <w:color w:val="8E8E8E"/>
                                <w:spacing w:val="0"/>
                                <w:w w:val="100"/>
                                <w:position w:val="0"/>
                                <w:sz w:val="12"/>
                                <w:szCs w:val="12"/>
                                <w:shd w:val="clear" w:color="auto" w:fill="auto"/>
                                <w:lang w:val="ru-RU" w:eastAsia="ru-RU" w:bidi="ru-RU"/>
                              </w:rPr>
                              <w:t xml:space="preserve">по </w:t>
                            </w:r>
                            <w:r>
                              <w:rPr>
                                <w:rFonts w:ascii="Arial" w:eastAsia="Arial" w:hAnsi="Arial" w:cs="Arial"/>
                                <w:color w:val="212121"/>
                                <w:spacing w:val="0"/>
                                <w:w w:val="100"/>
                                <w:position w:val="0"/>
                                <w:sz w:val="12"/>
                                <w:szCs w:val="12"/>
                                <w:shd w:val="clear" w:color="auto" w:fill="auto"/>
                                <w:lang w:val="ru-RU" w:eastAsia="ru-RU" w:bidi="ru-RU"/>
                              </w:rPr>
                              <w:t>28.06.2024</w:t>
                            </w:r>
                          </w:p>
                        </w:tc>
                      </w:tr>
                    </w:tbl>
                    <w:p>
                      <w:pPr>
                        <w:widowControl w:val="0"/>
                        <w:spacing w:line="1" w:lineRule="exact"/>
                      </w:pPr>
                    </w:p>
                  </w:txbxContent>
                </v:textbox>
                <w10:wrap type="topAndBottom" anchorx="page"/>
              </v:shape>
            </w:pict>
          </mc:Fallback>
        </mc:AlternateContent>
      </w:r>
      <w:r>
        <mc:AlternateContent>
          <mc:Choice Requires="wps">
            <w:drawing>
              <wp:anchor distT="544830" distB="2442210" distL="0" distR="0" simplePos="0" relativeHeight="125829386" behindDoc="0" locked="0" layoutInCell="1" allowOverlap="1">
                <wp:simplePos x="0" y="0"/>
                <wp:positionH relativeFrom="page">
                  <wp:posOffset>6101080</wp:posOffset>
                </wp:positionH>
                <wp:positionV relativeFrom="paragraph">
                  <wp:posOffset>544830</wp:posOffset>
                </wp:positionV>
                <wp:extent cx="1090930" cy="252730"/>
                <wp:wrapTopAndBottom/>
                <wp:docPr id="14" name="Shape 14"/>
                <a:graphic xmlns:a="http://schemas.openxmlformats.org/drawingml/2006/main">
                  <a:graphicData uri="http://schemas.microsoft.com/office/word/2010/wordprocessingShape">
                    <wps:wsp>
                      <wps:cNvSpPr txBox="1"/>
                      <wps:spPr>
                        <a:xfrm>
                          <a:ext cx="109093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Н.В. Горячева</w:t>
                            </w:r>
                          </w:p>
                        </w:txbxContent>
                      </wps:txbx>
                      <wps:bodyPr wrap="none" lIns="0" tIns="0" rIns="0" bIns="0">
                        <a:noAutoFit/>
                      </wps:bodyPr>
                    </wps:wsp>
                  </a:graphicData>
                </a:graphic>
              </wp:anchor>
            </w:drawing>
          </mc:Choice>
          <mc:Fallback>
            <w:pict>
              <v:shape id="_x0000_s1040" type="#_x0000_t202" style="position:absolute;margin-left:480.40000000000003pt;margin-top:42.899999999999999pt;width:85.900000000000006pt;height:19.900000000000002pt;z-index:-125829367;mso-wrap-distance-left:0;mso-wrap-distance-top:42.899999999999999pt;mso-wrap-distance-right:0;mso-wrap-distance-bottom:192.3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Н.В. Горячева</w:t>
                      </w:r>
                    </w:p>
                  </w:txbxContent>
                </v:textbox>
                <w10:wrap type="topAndBottom" anchorx="page"/>
              </v:shape>
            </w:pict>
          </mc:Fallback>
        </mc:AlternateContent>
      </w:r>
      <w:r>
        <mc:AlternateContent>
          <mc:Choice Requires="wps">
            <w:drawing>
              <wp:anchor distT="1386205" distB="1603375" distL="0" distR="0" simplePos="0" relativeHeight="125829388" behindDoc="0" locked="0" layoutInCell="1" allowOverlap="1">
                <wp:simplePos x="0" y="0"/>
                <wp:positionH relativeFrom="page">
                  <wp:posOffset>5845175</wp:posOffset>
                </wp:positionH>
                <wp:positionV relativeFrom="paragraph">
                  <wp:posOffset>1386205</wp:posOffset>
                </wp:positionV>
                <wp:extent cx="1347470" cy="250190"/>
                <wp:wrapTopAndBottom/>
                <wp:docPr id="16" name="Shape 16"/>
                <a:graphic xmlns:a="http://schemas.openxmlformats.org/drawingml/2006/main">
                  <a:graphicData uri="http://schemas.microsoft.com/office/word/2010/wordprocessingShape">
                    <wps:wsp>
                      <wps:cNvSpPr txBox="1"/>
                      <wps:spPr>
                        <a:xfrm>
                          <a:ext cx="1347470"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42" type="#_x0000_t202" style="position:absolute;margin-left:460.25pt;margin-top:109.15000000000001pt;width:106.10000000000001pt;height:19.699999999999999pt;z-index:-125829365;mso-wrap-distance-left:0;mso-wrap-distance-top:109.15000000000001pt;mso-wrap-distance-right:0;mso-wrap-distance-bottom:126.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М.М. Парнищева</w:t>
                      </w:r>
                    </w:p>
                  </w:txbxContent>
                </v:textbox>
                <w10:wrap type="topAndBottom" anchorx="page"/>
              </v:shape>
            </w:pict>
          </mc:Fallback>
        </mc:AlternateContent>
      </w:r>
      <w:r>
        <mc:AlternateContent>
          <mc:Choice Requires="wps">
            <w:drawing>
              <wp:anchor distT="2477770" distB="511810" distL="0" distR="0" simplePos="0" relativeHeight="125829390" behindDoc="0" locked="0" layoutInCell="1" allowOverlap="1">
                <wp:simplePos x="0" y="0"/>
                <wp:positionH relativeFrom="page">
                  <wp:posOffset>6061710</wp:posOffset>
                </wp:positionH>
                <wp:positionV relativeFrom="paragraph">
                  <wp:posOffset>2477770</wp:posOffset>
                </wp:positionV>
                <wp:extent cx="1124585" cy="250190"/>
                <wp:wrapTopAndBottom/>
                <wp:docPr id="18" name="Shape 18"/>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Левченко</w:t>
                            </w:r>
                          </w:p>
                        </w:txbxContent>
                      </wps:txbx>
                      <wps:bodyPr wrap="none" lIns="0" tIns="0" rIns="0" bIns="0">
                        <a:noAutoFit/>
                      </wps:bodyPr>
                    </wps:wsp>
                  </a:graphicData>
                </a:graphic>
              </wp:anchor>
            </w:drawing>
          </mc:Choice>
          <mc:Fallback>
            <w:pict>
              <v:shape id="_x0000_s1044" type="#_x0000_t202" style="position:absolute;margin-left:477.30000000000001pt;margin-top:195.09999999999999pt;width:88.549999999999997pt;height:19.699999999999999pt;z-index:-125829363;mso-wrap-distance-left:0;mso-wrap-distance-top:195.09999999999999pt;mso-wrap-distance-right:0;mso-wrap-distance-bottom:40.30000000000000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Левченко</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1087"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Исп.Левченко И.И.</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тел.8(4162)37-21-73; вн. 028-217</w:t>
      </w:r>
    </w:p>
    <w:sectPr>
      <w:footnotePr>
        <w:pos w:val="pageBottom"/>
        <w:numFmt w:val="decimal"/>
        <w:numRestart w:val="continuous"/>
      </w:footnotePr>
      <w:type w:val="continuous"/>
      <w:pgSz w:w="11900" w:h="16840"/>
      <w:pgMar w:top="1105" w:right="546" w:bottom="108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10022205</wp:posOffset>
              </wp:positionV>
              <wp:extent cx="560705" cy="100330"/>
              <wp:wrapNone/>
              <wp:docPr id="2" name="Shape 2"/>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950000000000003pt;margin-top:789.14999999999998pt;width:44.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60705" cy="100330"/>
              <wp:wrapNone/>
              <wp:docPr id="4" name="Shape 4"/>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2023-841</w:t>
                          </w:r>
                        </w:p>
                      </w:txbxContent>
                    </wps:txbx>
                    <wps:bodyPr wrap="none" lIns="0" tIns="0" rIns="0" bIns="0">
                      <a:spAutoFit/>
                    </wps:bodyPr>
                  </wps:wsp>
                </a:graphicData>
              </a:graphic>
            </wp:anchor>
          </w:drawing>
        </mc:Choice>
        <mc:Fallback>
          <w:pict>
            <v:shape id="_x0000_s1030" type="#_x0000_t202" style="position:absolute;margin-left:57.pt;margin-top:776.20000000000005pt;width:44.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 (3)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33">
    <w:name w:val="Заголовок №1_"/>
    <w:basedOn w:val="DefaultParagraphFont"/>
    <w:link w:val="Style32"/>
    <w:rPr>
      <w:rFonts w:ascii="Arial" w:eastAsia="Arial" w:hAnsi="Arial" w:cs="Arial"/>
      <w:b w:val="0"/>
      <w:bCs w:val="0"/>
      <w:i w:val="0"/>
      <w:iCs w:val="0"/>
      <w:smallCaps w:val="0"/>
      <w:strike w:val="0"/>
      <w:sz w:val="32"/>
      <w:szCs w:val="3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line="271"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4)"/>
    <w:basedOn w:val="Normal"/>
    <w:link w:val="CharStyle9"/>
    <w:pPr>
      <w:widowControl w:val="0"/>
      <w:shd w:val="clear" w:color="auto" w:fill="auto"/>
      <w:spacing w:after="220"/>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0">
    <w:name w:val="Заголовок №2"/>
    <w:basedOn w:val="Normal"/>
    <w:link w:val="CharStyle11"/>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3)"/>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Другое"/>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2">
    <w:name w:val="Заголовок №1"/>
    <w:basedOn w:val="Normal"/>
    <w:link w:val="CharStyle33"/>
    <w:pPr>
      <w:widowControl w:val="0"/>
      <w:shd w:val="clear" w:color="auto" w:fill="auto"/>
      <w:spacing w:after="30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