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460A2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460A2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Федеральной антимонопольной службы</w:t>
        <w:br/>
        <w:t>по Мурманской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6"/>
          <w:szCs w:val="16"/>
        </w:rPr>
      </w:pP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Академика Книповича, 9а, г. Мурманск, 183038</w:t>
        <w:br/>
        <w:t>тел. (8152) 68-50-43, факс (8152) 68-50-43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е-тай: ю51 @Гак.цо\</w:t>
      </w: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vertAlign w:val="superscript"/>
          <w:lang w:val="ru-RU" w:eastAsia="ru-RU" w:bidi="ru-RU"/>
        </w:rPr>
        <w:t>г</w:t>
      </w: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КВ/1681/2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8"/>
          <w:szCs w:val="18"/>
        </w:rPr>
      </w:pPr>
      <w:r>
        <w:rPr>
          <w:color w:val="4460A2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 учреждение "управление по обеспечению деятельности кандалакшского района" тГс@кап4а-доуги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"Домовенок 51"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63" w:right="647" w:bottom="1231" w:left="1140" w:header="0" w:footer="3" w:gutter="0"/>
          <w:pgNumType w:start="1"/>
          <w:cols w:num="2" w:space="720" w:equalWidth="0">
            <w:col w:w="4176" w:space="1090"/>
            <w:col w:w="4848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9950121386@тай.ги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6" w:after="1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" w:right="0" w:bottom="12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051/06/106-268/2023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7743" w:val="left"/>
        </w:tabs>
        <w:bidi w:val="0"/>
        <w:spacing w:before="0" w:after="30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 мая 2023 года</w:t>
        <w:tab/>
        <w:t>город Мурманск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Управления Федеральной антимонопольной службы по Мурманской области (далее -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Заместителя Председателя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Ворониной К.Ф. - Заместителя руководителя Управления Федеральной антимонопольной службы по Мурманской области,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Неплюевой А.А. - Заместителя начальника отдела контроля торгов Управления Федеральной антимонопольной службы по Мурманской области,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Конох А.А. - ведущего эксперта отдела контроля рекламы и недобросовестной конкуренции Управления Федеральной антимонопольной службы по Мурманской области, при участии: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Муниципального казенного учреждения «Управление по обеспечению деятельности кандалакшского района» - Григоревой Александры Александровны (по доверенности);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Общества с ограниченной ответственностью «Домовенок 51» - Герасимова Сергея Евгеньевича (по доверенности);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Общества с ограниченной ответственностью «Домовенок 51» (далее - ООО «Домовенок 51», Общество, Заявитель) на признание его уклонившимся от заключения контракта с Муниципальным казенным учреждением «Управление по обеспечению деятельности Кандалакшского района» (Далее - МКУ «Управление по обеспечению деятельности Кандалакшского района, Заказчик), по итогам проведения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26"/>
          <w:szCs w:val="26"/>
        </w:rPr>
      </w:pPr>
      <w:bookmarkStart w:id="2" w:name="bookmark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16"/>
        </w:rPr>
        <w:t>открытого аукциона в электронной форме №</w:t>
      </w:r>
      <w:r>
        <w:fldChar w:fldCharType="begin"/>
      </w:r>
      <w:r>
        <w:rPr/>
        <w:instrText> HYPERLINK "https://zakupki.gov.ru/epz/order/notice/ea20/view/documents.html?regNumber=0149300003523000030" </w:instrText>
      </w:r>
      <w:r>
        <w:fldChar w:fldCharType="separate"/>
      </w:r>
      <w:r>
        <w:rPr>
          <w:rStyle w:val="CharStyle16"/>
        </w:rPr>
        <w:t xml:space="preserve"> </w:t>
      </w:r>
      <w:r>
        <w:rPr>
          <w:rStyle w:val="CharStyle16"/>
          <w:u w:val="single"/>
        </w:rPr>
        <w:t>0149300003523000030</w:t>
      </w:r>
      <w:r>
        <w:fldChar w:fldCharType="end"/>
      </w:r>
      <w:r>
        <w:rPr>
          <w:rStyle w:val="CharStyle16"/>
          <w:u w:val="single"/>
        </w:rPr>
        <w:t>,</w:t>
      </w:r>
      <w:r>
        <w:rPr>
          <w:rStyle w:val="CharStyle16"/>
        </w:rPr>
        <w:t xml:space="preserve"> на поставку хозяйственных товаров, в соответствии со статьёй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(Далее - Закон о контрактной системе),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07.04.2023 в единой информационной системе в сфере закупок \у\у\у./акирк1.доу.ги (далее - ЕИС) Уполномоченным органом Заказчика- </w:t>
      </w:r>
      <w:r>
        <w:fldChar w:fldCharType="begin"/>
      </w:r>
      <w:r>
        <w:rPr/>
        <w:instrText> HYPERLINK "https://zakupki.gov.ru/epz/organization/view/info.html?organizationCode=01493000035"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Администрацией муниципального образования кандалакшского район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 было размещено извещение о проведении открытого аукциона электронной форме № </w:t>
      </w:r>
      <w:r>
        <w:fldChar w:fldCharType="begin"/>
      </w:r>
      <w:r>
        <w:rPr/>
        <w:instrText> HYPERLINK "https://zakupki.gov.ru/epz/order/notice/ea20/view/documents.html?regNumber=0149300003523000030"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0149300003523000030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на право заключения государственного контракта (Поставка хозяйственных товаров).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контракта: 40 976,00 руб.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28.04.2023 ООО «Домовенок 51» обратилось с жалобой в Мурманское УФАС на действия Заказчика, совершенные при заключении контракта в части признания Общества уклонившимся от подписания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рассмотрена дистанционно посредством сервиса веб</w:t>
        <w:softHyphen/>
        <w:t>видеоконференцсвязи 10 мая 2023 года.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жалобе Заявителя, контракт не был подписан своевременно по причине сбоя плагина электронной цифровой подписи (далее - ЭЦП). От исполнения контракта не отказываются.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Мурманского УФАС проверила обоснованность действий Заказчика и установила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от 18.04.2023 победителем открытого аукциона в электронной форме признано ООО «Домовенок 51» (идентификационный номер заявки - 242), которое предложило лучшие условия исполнения контракта на основе критериев, установленных в извещении об осуществлении закупки, и предложение о цене контракта - 9219.60 руб.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3 статьи 51 Закона о контрактной системе, не позднее пяти рабочих дней, следующих за днем размещения заказчиком в соответствии с частью 2 настоящей статьи проекта контракта, участник закупки, с которым заключается контракт, осуществляет одно из следующих действий: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подписанный проект контракта, а также документ, подтверждающий предоставление обеспечения исполнения контракта в соответствии с настоящим Федеральным законом (за исключением случаев, предусмотренных настоящим Федеральным законом). При этом такой участник закупки: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случаях, предусмотренных статьей 37 настоящего Федерального закона,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представляет заказчику информацию и документы, предусмотренные указанной статьей;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вносит на счет, на котором в соответствии с законодательством Российской Федерации учитываются операции со средствами, поступающими заказчику, денежные средства в размере платы, подлежащей внесению за заключение контракта, предложенной таким участником закупки (если по результатам определения поставщика (подрядчика, исполнителя) в соответствии с настоящим Федеральным законом определен размер платы, подлежащей внесению участником закупки за заключение контракта);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 в одном или нескольких из следующих случаев: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разногласий в отношении информации, включенной в проект контракта в соответствии с пунктом 1 части 2 настоящей статьи, с указанием информации, не соответствующей требованиям, установленным в извещении об осуществлении закупки, и положениям заявки такого участника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несогласие заключить контракт, содержащий условия, предусмотренные пунктом 2 части 2 настоящей статьи;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отказ от заключения контракта в случае, предусмотренном пунктом 1 части 17.2 статьи 95 настоящего Федерального закона.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.04.2023 Уполномоченным органом Заказчика в ЕИС был размещен проект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Регламентированный срок подписания исполнителем контракта - 27.04.2023 до 00:00 часов.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Однако, Обществом в установленный Законом срок проект контракта подписан не был.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6 статьи 51 Закона о контрактной системе 28.04.2023 Заказчик составил и разместил в ЕИС протокол признания участника уклонившимся от заключения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Мурманского УФАС не усматривает нарушения положений Закона о контрактной системе в действиях Заказчика по признанию Общества уклонившимся от заключения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представители Заказчика и Общества пояснили, что МКУ «Управление по обеспечению деятельности Кандалакшского района» одновременно направляло на подписание четыре контракта, три из которых были успешно подписаны.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качестве доказательств своей добросовестности и намерений заключить контракт, представитель Общества представил скриншот процедуры подписания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контрактов. Более того, товарные позиции по контракту были приобретены и готовы к отправке.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Стороны ходатайствовали о предоставлении возможности заключить контракт.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учётом сложившихся обстоятельств, Комиссия Мурманского УФАС России считает возможным выдать предписание о возобновлении процедуры подписания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статьями 99, 104 Закона о контрактной системе, Постановлением № 1078, Комиссия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71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«Домовенок 51» на действия Заказчика по признанию его уклонившимся от заключения контракта с Муниципальным бюджетным «Управление по обеспечению деятельности Кандалакшского района» по итогам проведения открытого аукциона в электронной форме №</w:t>
      </w:r>
      <w:r>
        <w:fldChar w:fldCharType="begin"/>
      </w:r>
      <w:r>
        <w:rPr/>
        <w:instrText> HYPERLINK "https://zakupki.gov.ru/epz/order/notice/ea20/view/event-journal.html?regNumber=0149300003523000030"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0149300003523000030</w:t>
      </w:r>
      <w:r>
        <w:fldChar w:fldCharType="end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на право заключения государственного контракта на поставку хозяйственных товаров -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Выдать предписание о возобновлении процедуры подписания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920"/>
        <w:ind w:left="0" w:right="0" w:firstLine="720"/>
        <w:jc w:val="both"/>
      </w:pPr>
      <w:r>
        <w:drawing>
          <wp:anchor distT="0" distB="0" distL="2098675" distR="1610995" simplePos="0" relativeHeight="125829378" behindDoc="0" locked="0" layoutInCell="1" allowOverlap="1">
            <wp:simplePos x="0" y="0"/>
            <wp:positionH relativeFrom="page">
              <wp:posOffset>2744470</wp:posOffset>
            </wp:positionH>
            <wp:positionV relativeFrom="paragraph">
              <wp:posOffset>838200</wp:posOffset>
            </wp:positionV>
            <wp:extent cx="335280" cy="487680"/>
            <wp:wrapSquare wrapText="righ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335280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760095</wp:posOffset>
                </wp:positionH>
                <wp:positionV relativeFrom="paragraph">
                  <wp:posOffset>1027430</wp:posOffset>
                </wp:positionV>
                <wp:extent cx="1700530" cy="23495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9.850000000000001pt;margin-top:80.900000000000006pt;width:133.90000000000001pt;height:18.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3159125</wp:posOffset>
                </wp:positionH>
                <wp:positionV relativeFrom="paragraph">
                  <wp:posOffset>1207135</wp:posOffset>
                </wp:positionV>
                <wp:extent cx="1082040" cy="9144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204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2E2E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2E2E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48.75pt;margin-top:95.049999999999997pt;width:85.200000000000003pt;height:7.20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E2E2E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2E2E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3122295</wp:posOffset>
                </wp:positionH>
                <wp:positionV relativeFrom="paragraph">
                  <wp:posOffset>944880</wp:posOffset>
                </wp:positionV>
                <wp:extent cx="1450975" cy="21971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097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84999999999999pt;margin-top:74.400000000000006pt;width:114.25pt;height:17.30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течение трёх месяцев со дня его принятия.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К.Ф. Воронина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both"/>
        <w:rPr>
          <w:sz w:val="10"/>
          <w:szCs w:val="10"/>
        </w:rPr>
      </w:pPr>
      <w:r>
        <w:rPr>
          <w:rFonts w:ascii="Arial" w:eastAsia="Arial" w:hAnsi="Arial" w:cs="Arial"/>
          <w:color w:val="4D4D4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Воронина Ксения Феликсовна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both"/>
        <w:rPr>
          <w:sz w:val="10"/>
          <w:szCs w:val="10"/>
        </w:rPr>
      </w:pPr>
      <w:r>
        <w:rPr>
          <w:rFonts w:ascii="Arial" w:eastAsia="Arial" w:hAnsi="Arial" w:cs="Arial"/>
          <w:color w:val="4D4D4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D4D4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00О3229С8807ЕС71Р1А8А1ЕЕ785А49А985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3240" w:right="0" w:firstLine="0"/>
        <w:jc w:val="both"/>
        <w:rPr>
          <w:sz w:val="10"/>
          <w:szCs w:val="10"/>
        </w:rPr>
      </w:pPr>
      <w:r>
        <w:rPr>
          <w:rFonts w:ascii="Arial" w:eastAsia="Arial" w:hAnsi="Arial" w:cs="Arial"/>
          <w:color w:val="4D4D4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F6F6F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21</w:t>
      </w:r>
      <w:r>
        <w:rPr>
          <w:rFonts w:ascii="Arial" w:eastAsia="Arial" w:hAnsi="Arial" w:cs="Arial"/>
          <w:color w:val="4D4D4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.03.2023 </w:t>
      </w:r>
      <w:r>
        <w:rPr>
          <w:rFonts w:ascii="Arial" w:eastAsia="Arial" w:hAnsi="Arial" w:cs="Arial"/>
          <w:color w:val="6F6F6F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по 1</w:t>
      </w:r>
      <w:r>
        <w:rPr>
          <w:rFonts w:ascii="Arial" w:eastAsia="Arial" w:hAnsi="Arial" w:cs="Arial"/>
          <w:color w:val="4D4D4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3.06.2024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" w:right="640" w:bottom="1279" w:left="99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9890" distB="0" distL="0" distR="0" simplePos="0" relativeHeight="125829379" behindDoc="0" locked="0" layoutInCell="1" allowOverlap="1">
                <wp:simplePos x="0" y="0"/>
                <wp:positionH relativeFrom="page">
                  <wp:posOffset>3131185</wp:posOffset>
                </wp:positionH>
                <wp:positionV relativeFrom="paragraph">
                  <wp:posOffset>389890</wp:posOffset>
                </wp:positionV>
                <wp:extent cx="1417320" cy="21653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73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6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242424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color w:val="242424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color w:val="242424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6.55000000000001pt;margin-top:30.699999999999999pt;width:111.60000000000001pt;height:17.050000000000001pt;z-index:-125829374;mso-wrap-distance-left:0;mso-wrap-distance-top:30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6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color w:val="242424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color w:val="242424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color w:val="242424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66675" distL="0" distR="0" simplePos="0" relativeHeight="125829381" behindDoc="0" locked="0" layoutInCell="1" allowOverlap="1">
                <wp:simplePos x="0" y="0"/>
                <wp:positionH relativeFrom="page">
                  <wp:posOffset>5935345</wp:posOffset>
                </wp:positionH>
                <wp:positionV relativeFrom="paragraph">
                  <wp:posOffset>304800</wp:posOffset>
                </wp:positionV>
                <wp:extent cx="1097280" cy="2349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А.В. Неплюева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7.35000000000002pt;margin-top:24.pt;width:86.400000000000006pt;height:18.5pt;z-index:-125829372;mso-wrap-distance-left:0;mso-wrap-distance-top:24.pt;mso-wrap-distance-right:0;mso-wrap-distance-bottom:5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А.В. Неплюева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6" w:line="240" w:lineRule="auto"/>
        <w:ind w:left="0" w:right="0" w:firstLine="0"/>
        <w:jc w:val="center"/>
        <w:rPr>
          <w:sz w:val="10"/>
          <w:szCs w:val="10"/>
        </w:rPr>
      </w:pP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3280" w:right="0" w:firstLine="0"/>
        <w:jc w:val="both"/>
        <w:rPr>
          <w:sz w:val="10"/>
          <w:szCs w:val="10"/>
        </w:rPr>
      </w:pPr>
      <w:r>
        <w:rPr>
          <w:rFonts w:ascii="Arial" w:eastAsia="Arial" w:hAnsi="Arial" w:cs="Arial"/>
          <w:color w:val="6F6F6F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Неплюева Анна Владимировна </w:t>
      </w:r>
      <w:r>
        <w:rPr>
          <w:rFonts w:ascii="Arial" w:eastAsia="Arial" w:hAnsi="Arial" w:cs="Arial"/>
          <w:color w:val="4D4D4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242424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№ 1201Е9ЕЮ11</w:t>
      </w:r>
      <w:r>
        <w:rPr>
          <w:rFonts w:ascii="Arial" w:eastAsia="Arial" w:hAnsi="Arial" w:cs="Arial"/>
          <w:color w:val="4D4D4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АОЕ6О6С82ССА5575Е01 </w:t>
      </w:r>
      <w:r>
        <w:rPr>
          <w:rFonts w:ascii="Arial" w:eastAsia="Arial" w:hAnsi="Arial" w:cs="Arial"/>
          <w:color w:val="242424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В1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62" w:lineRule="auto"/>
        <w:ind w:left="3280" w:right="0" w:firstLine="0"/>
        <w:jc w:val="both"/>
        <w:rPr>
          <w:sz w:val="10"/>
          <w:szCs w:val="10"/>
        </w:rPr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6200775</wp:posOffset>
                </wp:positionH>
                <wp:positionV relativeFrom="paragraph">
                  <wp:posOffset>203200</wp:posOffset>
                </wp:positionV>
                <wp:extent cx="831850" cy="23495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Конох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8.25pt;margin-top:16.pt;width:65.5pt;height:18.5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Конох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Arial" w:eastAsia="Arial" w:hAnsi="Arial" w:cs="Arial"/>
          <w:color w:val="4D4D4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Действителен с </w:t>
      </w:r>
      <w:r>
        <w:rPr>
          <w:rFonts w:ascii="Arial" w:eastAsia="Arial" w:hAnsi="Arial" w:cs="Arial"/>
          <w:color w:val="6F6F6F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05.12.2022 по </w:t>
      </w:r>
      <w:r>
        <w:rPr>
          <w:rFonts w:ascii="Arial" w:eastAsia="Arial" w:hAnsi="Arial" w:cs="Arial"/>
          <w:color w:val="4D4D4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28.02.2024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5" w:line="226" w:lineRule="auto"/>
        <w:ind w:left="3760" w:right="0" w:firstLine="0"/>
        <w:jc w:val="both"/>
        <w:rPr>
          <w:sz w:val="10"/>
          <w:szCs w:val="10"/>
        </w:rPr>
      </w:pPr>
      <w:r>
        <w:rPr>
          <w:color w:val="242424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4D4D4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ЭП, </w:t>
      </w:r>
      <w:r>
        <w:rPr>
          <w:color w:val="242424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6" w:line="240" w:lineRule="auto"/>
        <w:ind w:left="0" w:right="0" w:firstLine="0"/>
        <w:jc w:val="center"/>
        <w:rPr>
          <w:sz w:val="10"/>
          <w:szCs w:val="10"/>
        </w:rPr>
      </w:pPr>
      <w:r>
        <w:rPr>
          <w:rFonts w:ascii="Georgia" w:eastAsia="Georgia" w:hAnsi="Georgia" w:cs="Georgia"/>
          <w:color w:val="E2E2E2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20" w:right="0" w:firstLine="0"/>
        <w:jc w:val="both"/>
        <w:rPr>
          <w:sz w:val="10"/>
          <w:szCs w:val="10"/>
        </w:rPr>
      </w:pPr>
      <w:r>
        <w:rPr>
          <w:rFonts w:ascii="Arial" w:eastAsia="Arial" w:hAnsi="Arial" w:cs="Arial"/>
          <w:color w:val="4D4D4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Конок Анна Александровна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20" w:right="0" w:firstLine="0"/>
        <w:jc w:val="both"/>
        <w:rPr>
          <w:sz w:val="10"/>
          <w:szCs w:val="10"/>
        </w:rPr>
      </w:pPr>
      <w:r>
        <w:rPr>
          <w:rFonts w:ascii="Arial" w:eastAsia="Arial" w:hAnsi="Arial" w:cs="Arial"/>
          <w:color w:val="4D4D4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242424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000700221 Е0ЕА737ВВА49ЕЕ32С0ЕА30А29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3220" w:right="0" w:firstLine="0"/>
        <w:jc w:val="both"/>
        <w:rPr>
          <w:sz w:val="10"/>
          <w:szCs w:val="10"/>
        </w:rPr>
      </w:pPr>
      <w:r>
        <w:rPr>
          <w:rFonts w:ascii="Arial" w:eastAsia="Arial" w:hAnsi="Arial" w:cs="Arial"/>
          <w:color w:val="4D4D4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242424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4D4D4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01.03.2023 </w:t>
      </w:r>
      <w:r>
        <w:rPr>
          <w:rFonts w:ascii="Arial" w:eastAsia="Arial" w:hAnsi="Arial" w:cs="Arial"/>
          <w:color w:val="8F8F8F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4D4D4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24.05.2024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Исп.Конох А.А.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тел.8(8152) 68-50-55 вн.051-112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819" w:bottom="1345" w:left="11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9944735</wp:posOffset>
              </wp:positionV>
              <wp:extent cx="64008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2023-1003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3.05000000000007pt;width:50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2023-1003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0"/>
      <w:szCs w:val="10"/>
      <w:u w:val="none"/>
    </w:rPr>
  </w:style>
  <w:style w:type="character" w:customStyle="1" w:styleId="CharStyle27">
    <w:name w:val="Заголовок №1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30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0"/>
      <w:szCs w:val="10"/>
      <w:u w:val="none"/>
    </w:rPr>
  </w:style>
  <w:style w:type="paragraph" w:customStyle="1" w:styleId="Style26">
    <w:name w:val="Заголовок №1"/>
    <w:basedOn w:val="Normal"/>
    <w:link w:val="CharStyle27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/Relationships>
</file>