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127000" distB="2241550" distL="1128395" distR="1080135" simplePos="0" relativeHeight="125829378" behindDoc="0" locked="0" layoutInCell="1" allowOverlap="1">
            <wp:simplePos x="0" y="0"/>
            <wp:positionH relativeFrom="page">
              <wp:posOffset>1856740</wp:posOffset>
            </wp:positionH>
            <wp:positionV relativeFrom="paragraph">
              <wp:posOffset>12700</wp:posOffset>
            </wp:positionV>
            <wp:extent cx="615950" cy="6946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15950" cy="694690"/>
                    </a:xfrm>
                    <a:prstGeom prst="rect"/>
                  </pic:spPr>
                </pic:pic>
              </a:graphicData>
            </a:graphic>
          </wp:anchor>
        </w:drawing>
      </w:r>
      <w:r>
        <mc:AlternateContent>
          <mc:Choice Requires="wps">
            <w:drawing>
              <wp:anchor distT="1007110" distB="127000" distL="127000" distR="127000" simplePos="0" relativeHeight="125829379" behindDoc="0" locked="0" layoutInCell="1" allowOverlap="1">
                <wp:simplePos x="0" y="0"/>
                <wp:positionH relativeFrom="page">
                  <wp:posOffset>855345</wp:posOffset>
                </wp:positionH>
                <wp:positionV relativeFrom="paragraph">
                  <wp:posOffset>892810</wp:posOffset>
                </wp:positionV>
                <wp:extent cx="2571750" cy="1931670"/>
                <wp:wrapSquare wrapText="right"/>
                <wp:docPr id="3" name="Shape 3"/>
                <a:graphic xmlns:a="http://schemas.openxmlformats.org/drawingml/2006/main">
                  <a:graphicData uri="http://schemas.microsoft.com/office/word/2010/wordprocessingShape">
                    <wps:wsp>
                      <wps:cNvSpPr txBox="1"/>
                      <wps:spPr>
                        <a:xfrm>
                          <a:ext cx="2571750" cy="1931670"/>
                        </a:xfrm>
                        <a:prstGeom prst="rect"/>
                        <a:noFill/>
                      </wps:spPr>
                      <wps:txbx>
                        <w:txbxContent>
                          <w:p>
                            <w:pPr>
                              <w:pStyle w:val="Style2"/>
                              <w:keepNext w:val="0"/>
                              <w:keepLines w:val="0"/>
                              <w:widowControl w:val="0"/>
                              <w:shd w:val="clear" w:color="auto" w:fill="auto"/>
                              <w:bidi w:val="0"/>
                              <w:spacing w:before="0"/>
                              <w:ind w:left="0" w:right="0" w:firstLine="0"/>
                              <w:jc w:val="center"/>
                            </w:pPr>
                            <w:r>
                              <w:rPr>
                                <w:b/>
                                <w:bCs/>
                                <w:color w:val="000000"/>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pPr>
                            <w:r>
                              <w:rPr>
                                <w:b/>
                                <w:bCs/>
                                <w:color w:val="000000"/>
                                <w:spacing w:val="0"/>
                                <w:w w:val="100"/>
                                <w:position w:val="0"/>
                                <w:shd w:val="clear" w:color="auto" w:fill="auto"/>
                                <w:lang w:val="ru-RU" w:eastAsia="ru-RU" w:bidi="ru-RU"/>
                              </w:rPr>
                              <w:t>УПРАВЛЕНИЕ</w:t>
                              <w:br/>
                              <w:t>Федеральной антимонопольной</w:t>
                              <w:br/>
                              <w:t>службы по Калининградской области</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ул. Барнаульская 4, г. Калининград, 236006,</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бокс № 5033</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тел. (499) 755-23-23 доб. 039-111, факс (4012) 53-72-00</w:t>
                            </w:r>
                          </w:p>
                          <w:p>
                            <w:pPr>
                              <w:pStyle w:val="Style5"/>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ru-RU" w:eastAsia="ru-RU" w:bidi="ru-RU"/>
                              </w:rPr>
                              <w:t>е-таП: (о39@йз.§оу.ги</w:t>
                            </w:r>
                          </w:p>
                          <w:p>
                            <w:pPr>
                              <w:pStyle w:val="Style2"/>
                              <w:keepNext w:val="0"/>
                              <w:keepLines w:val="0"/>
                              <w:widowControl w:val="0"/>
                              <w:shd w:val="clear" w:color="auto" w:fill="auto"/>
                              <w:bidi w:val="0"/>
                              <w:spacing w:before="0" w:after="80"/>
                              <w:ind w:left="0" w:right="0" w:firstLine="0"/>
                              <w:jc w:val="center"/>
                            </w:pPr>
                            <w:r>
                              <w:rPr>
                                <w:color w:val="000000"/>
                                <w:spacing w:val="0"/>
                                <w:w w:val="100"/>
                                <w:position w:val="0"/>
                                <w:shd w:val="clear" w:color="auto" w:fill="auto"/>
                                <w:lang w:val="ru-RU" w:eastAsia="ru-RU" w:bidi="ru-RU"/>
                              </w:rPr>
                              <w:t>от 15.05.2023 № НИ/2170/23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7.349999999999994pt;margin-top:70.299999999999997pt;width:202.5pt;height:152.09999999999999pt;z-index:-125829374;mso-wrap-distance-left:10.pt;mso-wrap-distance-top:79.299999999999997pt;mso-wrap-distance-right:10.pt;mso-wrap-distance-bottom:10.pt;mso-position-horizontal-relative:page" filled="f" stroked="f">
                <v:textbox inset="0,0,0,0">
                  <w:txbxContent>
                    <w:p>
                      <w:pPr>
                        <w:pStyle w:val="Style2"/>
                        <w:keepNext w:val="0"/>
                        <w:keepLines w:val="0"/>
                        <w:widowControl w:val="0"/>
                        <w:shd w:val="clear" w:color="auto" w:fill="auto"/>
                        <w:bidi w:val="0"/>
                        <w:spacing w:before="0"/>
                        <w:ind w:left="0" w:right="0" w:firstLine="0"/>
                        <w:jc w:val="center"/>
                      </w:pPr>
                      <w:r>
                        <w:rPr>
                          <w:b/>
                          <w:bCs/>
                          <w:color w:val="000000"/>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pPr>
                      <w:r>
                        <w:rPr>
                          <w:b/>
                          <w:bCs/>
                          <w:color w:val="000000"/>
                          <w:spacing w:val="0"/>
                          <w:w w:val="100"/>
                          <w:position w:val="0"/>
                          <w:shd w:val="clear" w:color="auto" w:fill="auto"/>
                          <w:lang w:val="ru-RU" w:eastAsia="ru-RU" w:bidi="ru-RU"/>
                        </w:rPr>
                        <w:t>УПРАВЛЕНИЕ</w:t>
                        <w:br/>
                        <w:t>Федеральной антимонопольной</w:t>
                        <w:br/>
                        <w:t>службы по Калининградской области</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ул. Барнаульская 4, г. Калининград, 236006,</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бокс № 5033</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тел. (499) 755-23-23 доб. 039-111, факс (4012) 53-72-00</w:t>
                      </w:r>
                    </w:p>
                    <w:p>
                      <w:pPr>
                        <w:pStyle w:val="Style5"/>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ru-RU" w:eastAsia="ru-RU" w:bidi="ru-RU"/>
                        </w:rPr>
                        <w:t>е-таП: (о39@йз.§оу.ги</w:t>
                      </w:r>
                    </w:p>
                    <w:p>
                      <w:pPr>
                        <w:pStyle w:val="Style2"/>
                        <w:keepNext w:val="0"/>
                        <w:keepLines w:val="0"/>
                        <w:widowControl w:val="0"/>
                        <w:shd w:val="clear" w:color="auto" w:fill="auto"/>
                        <w:bidi w:val="0"/>
                        <w:spacing w:before="0" w:after="80"/>
                        <w:ind w:left="0" w:right="0" w:firstLine="0"/>
                        <w:jc w:val="center"/>
                      </w:pPr>
                      <w:r>
                        <w:rPr>
                          <w:color w:val="000000"/>
                          <w:spacing w:val="0"/>
                          <w:w w:val="100"/>
                          <w:position w:val="0"/>
                          <w:shd w:val="clear" w:color="auto" w:fill="auto"/>
                          <w:lang w:val="ru-RU" w:eastAsia="ru-RU" w:bidi="ru-RU"/>
                        </w:rPr>
                        <w:t>от 15.05.2023 № НИ/2170/23</w:t>
                      </w:r>
                    </w:p>
                  </w:txbxContent>
                </v:textbox>
                <w10:wrap type="square" side="right" anchorx="page"/>
              </v:shape>
            </w:pict>
          </mc:Fallback>
        </mc:AlternateConten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«Фаворит Спецтехника» 143432, Московская область, г. Краногорск, РП. Нахабино, ул. Панфилова, д. 24Б, офис 1</w:t>
      </w:r>
    </w:p>
    <w:p>
      <w:pPr>
        <w:pStyle w:val="Style7"/>
        <w:keepNext w:val="0"/>
        <w:keepLines w:val="0"/>
        <w:widowControl w:val="0"/>
        <w:shd w:val="clear" w:color="auto" w:fill="auto"/>
        <w:bidi w:val="0"/>
        <w:spacing w:before="0" w:after="280" w:line="240" w:lineRule="auto"/>
        <w:ind w:left="0" w:right="0" w:firstLine="0"/>
        <w:jc w:val="left"/>
      </w:pPr>
      <w:r>
        <w:rPr>
          <w:color w:val="000000"/>
          <w:spacing w:val="0"/>
          <w:w w:val="100"/>
          <w:position w:val="0"/>
          <w:u w:val="single"/>
          <w:shd w:val="clear" w:color="auto" w:fill="auto"/>
          <w:lang w:val="ru-RU" w:eastAsia="ru-RU" w:bidi="ru-RU"/>
        </w:rPr>
        <w:t>ГзШфдуогПзресФейшка.ги</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Федеральное государственное бюджетное учреждение «Управление мелиорации земель и сельскохозяйственного водоснабжения по Калининградской области»</w:t>
      </w:r>
    </w:p>
    <w:p>
      <w:pPr>
        <w:pStyle w:val="Style7"/>
        <w:keepNext w:val="0"/>
        <w:keepLines w:val="0"/>
        <w:widowControl w:val="0"/>
        <w:shd w:val="clear" w:color="auto" w:fill="auto"/>
        <w:bidi w:val="0"/>
        <w:spacing w:before="0" w:after="280" w:line="240" w:lineRule="auto"/>
        <w:ind w:left="0" w:right="0" w:firstLine="0"/>
        <w:jc w:val="both"/>
      </w:pPr>
      <w:r>
        <w:rPr>
          <w:color w:val="000000"/>
          <w:spacing w:val="0"/>
          <w:w w:val="100"/>
          <w:position w:val="0"/>
          <w:u w:val="single"/>
          <w:shd w:val="clear" w:color="auto" w:fill="auto"/>
          <w:lang w:val="ru-RU" w:eastAsia="ru-RU" w:bidi="ru-RU"/>
        </w:rPr>
        <w:t>тГо@каНп1пегас1теНо.тсх.яоу.ги</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АГЗ РТ</w:t>
      </w:r>
    </w:p>
    <w:p>
      <w:pPr>
        <w:pStyle w:val="Style7"/>
        <w:keepNext w:val="0"/>
        <w:keepLines w:val="0"/>
        <w:widowControl w:val="0"/>
        <w:shd w:val="clear" w:color="auto" w:fill="auto"/>
        <w:bidi w:val="0"/>
        <w:spacing w:before="0" w:after="800" w:line="240" w:lineRule="auto"/>
        <w:ind w:left="0" w:right="0" w:firstLine="0"/>
        <w:jc w:val="both"/>
      </w:pPr>
      <w:r>
        <w:rPr>
          <w:color w:val="000000"/>
          <w:spacing w:val="0"/>
          <w:w w:val="100"/>
          <w:position w:val="0"/>
          <w:u w:val="single"/>
          <w:shd w:val="clear" w:color="auto" w:fill="auto"/>
          <w:lang w:val="ru-RU" w:eastAsia="ru-RU" w:bidi="ru-RU"/>
        </w:rPr>
        <w:t>тГо@таП.2ака2гГ.ги</w:t>
      </w:r>
    </w:p>
    <w:p>
      <w:pPr>
        <w:pStyle w:val="Style13"/>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по делу № 039/06/48-345/2023</w:t>
      </w:r>
      <w:bookmarkEnd w:id="0"/>
    </w:p>
    <w:p>
      <w:pPr>
        <w:pStyle w:val="Style2"/>
        <w:keepNext w:val="0"/>
        <w:keepLines w:val="0"/>
        <w:widowControl w:val="0"/>
        <w:shd w:val="clear" w:color="auto" w:fill="auto"/>
        <w:tabs>
          <w:tab w:pos="887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Резолютивная часть объявлена 10.05.2023</w:t>
        <w:tab/>
        <w:t>г. Калининград</w:t>
      </w:r>
    </w:p>
    <w:p>
      <w:pPr>
        <w:pStyle w:val="Style2"/>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Изготовлено в полном объеме 15.05.2023</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Н.С. Иванова - заместитель руководителя - начальник отдела контроля органов власти, закупок и рекламы Калининградского УФАС России;</w:t>
      </w:r>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Ю.А. Зацепина Иванова - заместитель начальника отдела контроля органов власти, закупок и рекламы Калининградского УФАС России;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И.Д. Старжинский - специалист-эксперт отдела контроля органов власти, закупок и рекламы Калининградского УФАС России;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 участием представителей:</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заказчика - федерального государственного бюджетного учреждения «Управление мелиорации земель и сельскохозяйственного водоснабжения по Калининградской области»: О.А. Кашарной (по доверенности), М.С. Ильинской (по доверенности);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заявителя - ООО «Фаворит Спецтехника»: О.А. Оголь (по доверенности);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рассмотрев в режиме видеоконференцсвязи посредством плагина «ТгиеСопГ» жалобу (вх. № 3370/23 от 28.04.2023) ООО «Фаворит Спецтехника» (далее - Заявитель) на действия заказчика - федерального государственного бюджетного учреждения «Управление мелиорации земель и сельскохозяйственного водоснабжения по Калининградской области» при проведении открытого конкурса в электронной форме, предметом которого являются противопаводковые мероприятия (извещение № 0335100004723000008) (далее - Конкурс),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В Управление Федеральной антимонопольной службы по Калининградской области 28.04.2023 поступила жалоба Заявителя на действия комиссии Заказчика при рассмотрении и оценке вторых частей заявок на участие в Конкурсе.</w:t>
      </w:r>
    </w:p>
    <w:p>
      <w:pPr>
        <w:pStyle w:val="Style13"/>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ru-RU" w:eastAsia="ru-RU" w:bidi="ru-RU"/>
        </w:rPr>
        <w:t>В обоснование своей жалобы Заявитель привел следующие доводы</w:t>
      </w:r>
      <w:bookmarkEnd w:id="2"/>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ООО «Фаворит Спецтехника» 19.04.2023 подана заявка на участие в Конкурсе (идентификационный номер заявки 38851).</w:t>
      </w:r>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протоколом рассмотрения и оценки вторых частей заявок на участие в электронном конкурсе №0335100004723000008 от 24.04.2023 заявка ООО ООО «Фаворит Спецтехника» признана соответствующей требованиям, установленным в извещении, второй части заявки присвоено значение по критерию оценки согласно пункту 4 части 1 статьи 32 Закона о контрактной системе 39,16 балов.</w:t>
      </w:r>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протоколом подведения итогов электронного конкурса №0335100004723000008 от 24.04.2023 заявке ООО «Фаворит Спецтехника» присвоен порядковый номер 2 с итоговым рейтингом 92,49 балов.</w:t>
      </w:r>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 мнению Заявителя, действия комиссии Заказчика при оценке второй части заявки ИП Колчина В.В. по критерию «общая цена исполненных договоров» вызывают сомнения в связи с тем, что наименование работ «противопаводковые мероприятия» без указания объекта проведения таких работ ставят под сомнение сопоставимость характера выполнения таких работ участником закупки.</w:t>
      </w:r>
    </w:p>
    <w:p>
      <w:pPr>
        <w:pStyle w:val="Style7"/>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Размещенные 28.04.2023 Заказчиком разъяснения в отношении рассмотрения и оценки заявки носят юридический характер, при этом подсчет формулы по детализирующему показателю «39,165=39,17 баллов» не соответствует указанным в протоколе 39,16 балам.</w:t>
      </w:r>
    </w:p>
    <w:p>
      <w:pPr>
        <w:pStyle w:val="Style13"/>
        <w:keepNext/>
        <w:keepLines/>
        <w:widowControl w:val="0"/>
        <w:shd w:val="clear" w:color="auto" w:fill="auto"/>
        <w:bidi w:val="0"/>
        <w:spacing w:before="0" w:line="240" w:lineRule="auto"/>
        <w:ind w:left="0" w:right="0" w:firstLine="0"/>
        <w:jc w:val="center"/>
      </w:pPr>
      <w:bookmarkStart w:id="4" w:name="bookmark4"/>
      <w:r>
        <w:rPr>
          <w:color w:val="000000"/>
          <w:spacing w:val="0"/>
          <w:w w:val="100"/>
          <w:position w:val="0"/>
          <w:shd w:val="clear" w:color="auto" w:fill="auto"/>
          <w:lang w:val="ru-RU" w:eastAsia="ru-RU" w:bidi="ru-RU"/>
        </w:rPr>
        <w:t>Заказчиком даны следующие пояснения по сути жалобы Заявителя</w:t>
      </w:r>
      <w:bookmarkEnd w:id="4"/>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Представители Заказчика на заседании Комиссии с доводами жалобы Заявителя не согласились, считают свои действия по оценке вторых частей заявок участников Конкурса соответствующими требованиям Закона о контрактной системе.</w:t>
      </w:r>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Заказчиком выявлено, что разъяснения результатов оценки заявок от 28.04.2023, согласно которым заявке ООО «Фаворит Спецтехника» зачтен опыт сопоставимых работ на общую сумму исполненных договоров 332 644 276,56 рублей, направлены оператору электронной площадки с ошибочно прикрепленным файлом, содержание которого не соответствует решению комиссии Заказчика.</w:t>
      </w:r>
    </w:p>
    <w:p>
      <w:pPr>
        <w:pStyle w:val="Style7"/>
        <w:keepNext w:val="0"/>
        <w:keepLines w:val="0"/>
        <w:widowControl w:val="0"/>
        <w:shd w:val="clear" w:color="auto" w:fill="auto"/>
        <w:bidi w:val="0"/>
        <w:spacing w:before="0" w:after="280" w:line="240" w:lineRule="auto"/>
        <w:ind w:left="0" w:right="0" w:firstLine="560"/>
        <w:jc w:val="both"/>
      </w:pPr>
      <w:r>
        <w:rPr>
          <w:color w:val="000000"/>
          <w:spacing w:val="0"/>
          <w:w w:val="100"/>
          <w:position w:val="0"/>
          <w:shd w:val="clear" w:color="auto" w:fill="auto"/>
          <w:lang w:val="ru-RU" w:eastAsia="ru-RU" w:bidi="ru-RU"/>
        </w:rPr>
        <w:t>Заказчик считает, что указанные разъяснения не подлежат размещению на официальном сайте единой информационной системы в сфере закупок и не могут являться доказательством принятого комиссией Заказчика решения.</w:t>
      </w:r>
    </w:p>
    <w:p>
      <w:pPr>
        <w:pStyle w:val="Style7"/>
        <w:keepNext w:val="0"/>
        <w:keepLines w:val="0"/>
        <w:widowControl w:val="0"/>
        <w:shd w:val="clear" w:color="auto" w:fill="auto"/>
        <w:bidi w:val="0"/>
        <w:spacing w:before="0" w:after="280" w:line="240" w:lineRule="auto"/>
        <w:ind w:left="0" w:right="0" w:firstLine="560"/>
        <w:jc w:val="both"/>
      </w:pPr>
      <w:r>
        <w:rPr>
          <w:b/>
          <w:bCs/>
          <w:color w:val="000000"/>
          <w:spacing w:val="0"/>
          <w:w w:val="100"/>
          <w:position w:val="0"/>
          <w:shd w:val="clear" w:color="auto" w:fill="auto"/>
          <w:lang w:val="ru-RU" w:eastAsia="ru-RU" w:bidi="ru-RU"/>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04.04.2023 Заказчиком на официальном сайте единой информационной системы в сфере закупок размещено извещение об осуществлении закупки № 0335100004723000008 с приложениями.</w:t>
      </w:r>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Начальная (максимальная) цена контракта - 18 625 818,00 рублей.</w:t>
      </w:r>
    </w:p>
    <w:p>
      <w:pPr>
        <w:pStyle w:val="Style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соответствии с Приказом ФАС № 727/14 от 19.10.2014 «Об утверждении административного регламента Федеральной антимонопольной службы по исполнению </w:t>
      </w:r>
      <w:r>
        <w:rPr>
          <w:color w:val="000000"/>
          <w:spacing w:val="0"/>
          <w:w w:val="100"/>
          <w:position w:val="0"/>
          <w:shd w:val="clear" w:color="auto" w:fill="auto"/>
          <w:lang w:val="ru-RU" w:eastAsia="ru-RU" w:bidi="ru-RU"/>
        </w:rPr>
        <w:t>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в случае если доводом жалобы являются результаты оценки заявок на участие в конкурсе по критериям оценки, указанным в пунктах 3 и 4 части 1 статьи 32 Закона о контрактной системе, рассмотрение жалобы не проводится в отношении результатов оценки заявок на участие в конкурсе по критериям оценки заявок на участие в конкурсе, указанным в пунктах 3 и 4 части 1 статьи 32 Закона о контрактной системе, и обжаловать такие результаты оценки заявок можно в судебном порядке.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частью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Также, 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Приложении № 5 к извещению о проведении Конкурса Заказчиком установлен порядок рассмотрения и оценки заявок на участие в Конкурсе, согласно которому Оценка заявок осуществляется по формулам, предусмотренным пунктами 9 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31.12.2021г.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связи с изложенным, рассмотрение жалобы не осуществляется в отношении результатов оценки заявок на участие в Конкурсе, в связи с чем довод Заявителя не подлежит рассмотрению Комиссией, при этом Заявитель вправе обжаловать вышеуказанные действия Конкурсной комиссии в судебном порядке.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письменным пояснениям Заказчика (вх. № 3612/23 от 10.05.2023) разъяснения результатов оценки заявок от 28.04.2023, согласно которым заявке ООО «Фаворит Спецтехника» зачтен опыт сопоставимых работ на общую сумму исполненных договоров 332 644 276,56 рублей, направлены оператору электронной площадки с ошибочно прикрепленным файлом, содержание которого не соответствует решению комиссии Заказчика.</w:t>
      </w:r>
    </w:p>
    <w:p>
      <w:pPr>
        <w:pStyle w:val="Style7"/>
        <w:keepNext w:val="0"/>
        <w:keepLines w:val="0"/>
        <w:widowControl w:val="0"/>
        <w:shd w:val="clear" w:color="auto" w:fill="auto"/>
        <w:bidi w:val="0"/>
        <w:spacing w:before="0" w:after="0" w:line="240" w:lineRule="auto"/>
        <w:ind w:left="0" w:right="0" w:firstLine="580"/>
        <w:jc w:val="both"/>
        <w:sectPr>
          <w:footerReference w:type="default" r:id="rId7"/>
          <w:footerReference w:type="even" r:id="rId8"/>
          <w:footnotePr>
            <w:pos w:val="pageBottom"/>
            <w:numFmt w:val="decimal"/>
            <w:numRestart w:val="continuous"/>
          </w:footnotePr>
          <w:pgSz w:w="11900" w:h="16840"/>
          <w:pgMar w:top="826" w:right="527" w:bottom="1079" w:left="803" w:header="0" w:footer="3" w:gutter="0"/>
          <w:pgNumType w:start="1"/>
          <w:cols w:space="720"/>
          <w:noEndnote/>
          <w:rtlGutter w:val="0"/>
          <w:docGrid w:linePitch="360"/>
        </w:sectPr>
      </w:pPr>
      <w:r>
        <w:rPr>
          <w:color w:val="000000"/>
          <w:spacing w:val="0"/>
          <w:w w:val="100"/>
          <w:position w:val="0"/>
          <w:shd w:val="clear" w:color="auto" w:fill="auto"/>
          <w:lang w:val="ru-RU" w:eastAsia="ru-RU" w:bidi="ru-RU"/>
        </w:rPr>
        <w:t xml:space="preserve">Частью 18 статьи 48 Закона о контрактной системе установлено, что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 учетом изложенного выше Комиссия делает вывод, действия Заказчика, выразившиеся в направлении разъяснений результатов оценки заявок от 28.04.2023 с ошибочно прикрепленным файлом, содержание которого не соответствует решению комиссии Заказчика, нарушают часть 18 статьи 48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связи с тем, что допущенное нарушение Закона о контрактной системе не повлияло на результат определения победителя Конкурса, Комиссия решила не выдавать предписание об устранении допущенного нарушения.</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Руководствуясь частью 6 статьи 106 Закона о контрактной системе в сфере закупок, Комиссия</w:t>
      </w:r>
    </w:p>
    <w:p>
      <w:pPr>
        <w:pStyle w:val="Style13"/>
        <w:keepNext/>
        <w:keepLines/>
        <w:widowControl w:val="0"/>
        <w:shd w:val="clear" w:color="auto" w:fill="auto"/>
        <w:bidi w:val="0"/>
        <w:spacing w:before="0" w:after="300" w:line="240" w:lineRule="auto"/>
        <w:ind w:left="0" w:right="0" w:firstLine="0"/>
        <w:jc w:val="center"/>
      </w:pPr>
      <w:bookmarkStart w:id="6" w:name="bookmark6"/>
      <w:r>
        <w:rPr>
          <w:color w:val="000000"/>
          <w:spacing w:val="0"/>
          <w:w w:val="100"/>
          <w:position w:val="0"/>
          <w:shd w:val="clear" w:color="auto" w:fill="auto"/>
          <w:lang w:val="ru-RU" w:eastAsia="ru-RU" w:bidi="ru-RU"/>
        </w:rPr>
        <w:t>РЕШИЛА:</w:t>
      </w:r>
      <w:bookmarkEnd w:id="6"/>
    </w:p>
    <w:p>
      <w:pPr>
        <w:pStyle w:val="Style7"/>
        <w:keepNext w:val="0"/>
        <w:keepLines w:val="0"/>
        <w:widowControl w:val="0"/>
        <w:numPr>
          <w:ilvl w:val="0"/>
          <w:numId w:val="1"/>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«Фаворит Спецтехника» необоснованной.</w:t>
      </w:r>
    </w:p>
    <w:p>
      <w:pPr>
        <w:pStyle w:val="Style7"/>
        <w:keepNext w:val="0"/>
        <w:keepLines w:val="0"/>
        <w:widowControl w:val="0"/>
        <w:numPr>
          <w:ilvl w:val="0"/>
          <w:numId w:val="1"/>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Заказчика нарушившим часть 18 статьи 48 Закона о контрактной системе.</w:t>
      </w:r>
    </w:p>
    <w:p>
      <w:pPr>
        <w:pStyle w:val="Style7"/>
        <w:keepNext w:val="0"/>
        <w:keepLines w:val="0"/>
        <w:widowControl w:val="0"/>
        <w:numPr>
          <w:ilvl w:val="0"/>
          <w:numId w:val="1"/>
        </w:numPr>
        <w:shd w:val="clear" w:color="auto" w:fill="auto"/>
        <w:tabs>
          <w:tab w:pos="3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Предписание об устранении допущенного нарушения Закона о контрактной </w:t>
      </w:r>
      <w:r>
        <w:rPr>
          <w:color w:val="000000"/>
          <w:spacing w:val="0"/>
          <w:w w:val="100"/>
          <w:position w:val="0"/>
          <w:shd w:val="clear" w:color="auto" w:fill="auto"/>
          <w:lang w:val="ru-RU" w:eastAsia="ru-RU" w:bidi="ru-RU"/>
        </w:rPr>
        <w:t>системе не выдавать.</w:t>
      </w:r>
    </w:p>
    <w:p>
      <w:pPr>
        <w:pStyle w:val="Style7"/>
        <w:keepNext w:val="0"/>
        <w:keepLines w:val="0"/>
        <w:widowControl w:val="0"/>
        <w:numPr>
          <w:ilvl w:val="0"/>
          <w:numId w:val="1"/>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Передать материалы дела должностному лицу Калининградского УФАС России</w:t>
      </w:r>
    </w:p>
    <w:p>
      <w:pPr>
        <w:pStyle w:val="Style7"/>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25400" distR="25400" simplePos="0" relativeHeight="125829381" behindDoc="0" locked="0" layoutInCell="1" allowOverlap="1">
                <wp:simplePos x="0" y="0"/>
                <wp:positionH relativeFrom="page">
                  <wp:posOffset>5488940</wp:posOffset>
                </wp:positionH>
                <wp:positionV relativeFrom="paragraph">
                  <wp:posOffset>25400</wp:posOffset>
                </wp:positionV>
                <wp:extent cx="1625600" cy="1156970"/>
                <wp:wrapSquare wrapText="left"/>
                <wp:docPr id="9" name="Shape 9"/>
                <a:graphic xmlns:a="http://schemas.openxmlformats.org/drawingml/2006/main">
                  <a:graphicData uri="http://schemas.microsoft.com/office/word/2010/wordprocessingShape">
                    <wps:wsp>
                      <wps:cNvSpPr txBox="1"/>
                      <wps:spPr>
                        <a:xfrm>
                          <a:ext cx="1625600" cy="1156970"/>
                        </a:xfrm>
                        <a:prstGeom prst="rect"/>
                        <a:noFill/>
                      </wps:spPr>
                      <wps:txbx>
                        <w:txbxContent>
                          <w:p>
                            <w:pPr>
                              <w:pStyle w:val="Style7"/>
                              <w:keepNext w:val="0"/>
                              <w:keepLines w:val="0"/>
                              <w:widowControl w:val="0"/>
                              <w:shd w:val="clear" w:color="auto" w:fill="auto"/>
                              <w:bidi w:val="0"/>
                              <w:spacing w:before="0" w:after="600" w:line="240" w:lineRule="auto"/>
                              <w:ind w:left="0" w:right="0" w:firstLine="0"/>
                              <w:jc w:val="left"/>
                            </w:pPr>
                            <w:r>
                              <w:rPr>
                                <w:color w:val="000000"/>
                                <w:spacing w:val="0"/>
                                <w:w w:val="100"/>
                                <w:position w:val="0"/>
                                <w:shd w:val="clear" w:color="auto" w:fill="auto"/>
                                <w:lang w:val="ru-RU" w:eastAsia="ru-RU" w:bidi="ru-RU"/>
                              </w:rPr>
                              <w:t>Закона о контрактной</w:t>
                            </w:r>
                          </w:p>
                          <w:p>
                            <w:pPr>
                              <w:pStyle w:val="Style7"/>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Н.С. Иванова</w:t>
                            </w:r>
                          </w:p>
                          <w:p>
                            <w:pPr>
                              <w:pStyle w:val="Style7"/>
                              <w:keepNext w:val="0"/>
                              <w:keepLines w:val="0"/>
                              <w:widowControl w:val="0"/>
                              <w:shd w:val="clear" w:color="auto" w:fill="auto"/>
                              <w:bidi w:val="0"/>
                              <w:spacing w:before="0" w:after="440" w:line="240" w:lineRule="auto"/>
                              <w:ind w:left="0" w:right="0" w:firstLine="0"/>
                              <w:jc w:val="left"/>
                            </w:pPr>
                            <w:r>
                              <w:rPr>
                                <w:color w:val="000000"/>
                                <w:spacing w:val="0"/>
                                <w:w w:val="100"/>
                                <w:position w:val="0"/>
                                <w:shd w:val="clear" w:color="auto" w:fill="auto"/>
                                <w:lang w:val="ru-RU" w:eastAsia="ru-RU" w:bidi="ru-RU"/>
                              </w:rPr>
                              <w:t>Ю.А. Зацепина</w:t>
                            </w:r>
                          </w:p>
                        </w:txbxContent>
                      </wps:txbx>
                      <wps:bodyPr lIns="0" tIns="0" rIns="0" bIns="0">
                        <a:noAutoFit/>
                      </wps:bodyPr>
                    </wps:wsp>
                  </a:graphicData>
                </a:graphic>
              </wp:anchor>
            </w:drawing>
          </mc:Choice>
          <mc:Fallback>
            <w:pict>
              <v:shape id="_x0000_s1035" type="#_x0000_t202" style="position:absolute;margin-left:432.19999999999999pt;margin-top:2.pt;width:128.pt;height:91.100000000000009pt;z-index:-125829372;mso-wrap-distance-left:2.pt;mso-wrap-distance-right:2.pt;mso-position-horizontal-relative:page" filled="f" stroked="f">
                <v:textbox inset="0,0,0,0">
                  <w:txbxContent>
                    <w:p>
                      <w:pPr>
                        <w:pStyle w:val="Style7"/>
                        <w:keepNext w:val="0"/>
                        <w:keepLines w:val="0"/>
                        <w:widowControl w:val="0"/>
                        <w:shd w:val="clear" w:color="auto" w:fill="auto"/>
                        <w:bidi w:val="0"/>
                        <w:spacing w:before="0" w:after="600" w:line="240" w:lineRule="auto"/>
                        <w:ind w:left="0" w:right="0" w:firstLine="0"/>
                        <w:jc w:val="left"/>
                      </w:pPr>
                      <w:r>
                        <w:rPr>
                          <w:color w:val="000000"/>
                          <w:spacing w:val="0"/>
                          <w:w w:val="100"/>
                          <w:position w:val="0"/>
                          <w:shd w:val="clear" w:color="auto" w:fill="auto"/>
                          <w:lang w:val="ru-RU" w:eastAsia="ru-RU" w:bidi="ru-RU"/>
                        </w:rPr>
                        <w:t>Закона о контрактной</w:t>
                      </w:r>
                    </w:p>
                    <w:p>
                      <w:pPr>
                        <w:pStyle w:val="Style7"/>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Н.С. Иванова</w:t>
                      </w:r>
                    </w:p>
                    <w:p>
                      <w:pPr>
                        <w:pStyle w:val="Style7"/>
                        <w:keepNext w:val="0"/>
                        <w:keepLines w:val="0"/>
                        <w:widowControl w:val="0"/>
                        <w:shd w:val="clear" w:color="auto" w:fill="auto"/>
                        <w:bidi w:val="0"/>
                        <w:spacing w:before="0" w:after="440" w:line="240" w:lineRule="auto"/>
                        <w:ind w:left="0" w:right="0" w:firstLine="0"/>
                        <w:jc w:val="left"/>
                      </w:pPr>
                      <w:r>
                        <w:rPr>
                          <w:color w:val="000000"/>
                          <w:spacing w:val="0"/>
                          <w:w w:val="100"/>
                          <w:position w:val="0"/>
                          <w:shd w:val="clear" w:color="auto" w:fill="auto"/>
                          <w:lang w:val="ru-RU" w:eastAsia="ru-RU" w:bidi="ru-RU"/>
                        </w:rPr>
                        <w:t>Ю.А. Зацепина</w:t>
                      </w:r>
                    </w:p>
                  </w:txbxContent>
                </v:textbox>
                <w10:wrap type="square" side="left" anchorx="page"/>
              </v:shape>
            </w:pict>
          </mc:Fallback>
        </mc:AlternateContent>
      </w:r>
      <w:r>
        <w:rPr>
          <w:color w:val="000000"/>
          <w:spacing w:val="0"/>
          <w:w w:val="100"/>
          <w:position w:val="0"/>
          <w:shd w:val="clear" w:color="auto" w:fill="auto"/>
          <w:lang w:val="ru-RU" w:eastAsia="ru-RU" w:bidi="ru-RU"/>
        </w:rPr>
        <w:t>для решения вопроса о привлечении лиц, допустивших нарушения</w:t>
      </w:r>
    </w:p>
    <w:p>
      <w:pPr>
        <w:pStyle w:val="Style7"/>
        <w:keepNext w:val="0"/>
        <w:keepLines w:val="0"/>
        <w:widowControl w:val="0"/>
        <w:shd w:val="clear" w:color="auto" w:fill="auto"/>
        <w:bidi w:val="0"/>
        <w:spacing w:before="0" w:after="300" w:line="240" w:lineRule="auto"/>
        <w:ind w:left="0" w:right="0" w:firstLine="0"/>
        <w:jc w:val="left"/>
      </w:pPr>
      <w:r>
        <w:drawing>
          <wp:anchor distT="0" distB="0" distL="114300" distR="114300" simplePos="0" relativeHeight="125829383" behindDoc="0" locked="0" layoutInCell="1" allowOverlap="1">
            <wp:simplePos x="0" y="0"/>
            <wp:positionH relativeFrom="page">
              <wp:posOffset>4265930</wp:posOffset>
            </wp:positionH>
            <wp:positionV relativeFrom="paragraph">
              <wp:posOffset>152400</wp:posOffset>
            </wp:positionV>
            <wp:extent cx="1151890" cy="93853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1151890" cy="938530"/>
                    </a:xfrm>
                    <a:prstGeom prst="rect"/>
                  </pic:spPr>
                </pic:pic>
              </a:graphicData>
            </a:graphic>
          </wp:anchor>
        </w:drawing>
      </w:r>
      <w:r>
        <w:rPr>
          <w:color w:val="000000"/>
          <w:spacing w:val="0"/>
          <w:w w:val="100"/>
          <w:position w:val="0"/>
          <w:shd w:val="clear" w:color="auto" w:fill="auto"/>
          <w:lang w:val="ru-RU" w:eastAsia="ru-RU" w:bidi="ru-RU"/>
        </w:rPr>
        <w:t>системе, к административной ответственности.</w:t>
      </w:r>
    </w:p>
    <w:p>
      <w:pPr>
        <w:pStyle w:val="Style7"/>
        <w:keepNext w:val="0"/>
        <w:keepLines w:val="0"/>
        <w:widowControl w:val="0"/>
        <w:shd w:val="clear" w:color="auto" w:fill="auto"/>
        <w:bidi w:val="0"/>
        <w:spacing w:before="0" w:after="300" w:line="240" w:lineRule="auto"/>
        <w:ind w:left="0" w:right="0" w:firstLine="420"/>
        <w:jc w:val="both"/>
      </w:pPr>
      <w:r>
        <w:rPr>
          <w:color w:val="000000"/>
          <w:spacing w:val="0"/>
          <w:w w:val="100"/>
          <w:position w:val="0"/>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300" w:line="240" w:lineRule="auto"/>
        <w:ind w:left="0" w:right="0" w:firstLine="420"/>
        <w:jc w:val="both"/>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600" w:line="240" w:lineRule="auto"/>
        <w:ind w:left="0" w:right="440" w:firstLine="0"/>
        <w:jc w:val="right"/>
      </w:pPr>
      <w:r>
        <w:rPr>
          <w:color w:val="000000"/>
          <w:spacing w:val="0"/>
          <w:w w:val="100"/>
          <w:position w:val="0"/>
          <w:shd w:val="clear" w:color="auto" w:fill="auto"/>
          <w:lang w:val="ru-RU" w:eastAsia="ru-RU" w:bidi="ru-RU"/>
        </w:rPr>
        <w:t>И.Д. Старжинский</w:t>
      </w:r>
    </w:p>
    <w:p>
      <w:pPr>
        <w:pStyle w:val="Style5"/>
        <w:keepNext w:val="0"/>
        <w:keepLines w:val="0"/>
        <w:widowControl w:val="0"/>
        <w:shd w:val="clear" w:color="auto" w:fill="auto"/>
        <w:bidi w:val="0"/>
        <w:spacing w:before="0" w:after="140" w:line="252" w:lineRule="auto"/>
        <w:ind w:left="0" w:right="0" w:firstLine="720"/>
        <w:jc w:val="both"/>
      </w:pPr>
      <w:r>
        <w:rPr>
          <w:color w:val="000000"/>
          <w:spacing w:val="0"/>
          <w:w w:val="100"/>
          <w:position w:val="0"/>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footerReference w:type="default" r:id="rId11"/>
      <w:footerReference w:type="even" r:id="rId12"/>
      <w:footnotePr>
        <w:pos w:val="pageBottom"/>
        <w:numFmt w:val="decimal"/>
        <w:numRestart w:val="continuous"/>
      </w:footnotePr>
      <w:pgSz w:w="11900" w:h="16840"/>
      <w:pgMar w:top="826" w:right="527" w:bottom="1079" w:left="803" w:header="398"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3936365</wp:posOffset>
              </wp:positionH>
              <wp:positionV relativeFrom="page">
                <wp:posOffset>10139680</wp:posOffset>
              </wp:positionV>
              <wp:extent cx="31750" cy="93980"/>
              <wp:wrapNone/>
              <wp:docPr id="5" name="Shape 5"/>
              <a:graphic xmlns:a="http://schemas.openxmlformats.org/drawingml/2006/main">
                <a:graphicData uri="http://schemas.microsoft.com/office/word/2010/wordprocessingShape">
                  <wps:wsp>
                    <wps:cNvSpPr txBox="1"/>
                    <wps:spPr>
                      <a:xfrm>
                        <a:ext cx="31750" cy="939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94999999999999pt;margin-top:798.39999999999998pt;width:2.5pt;height:7.4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3923030</wp:posOffset>
              </wp:positionH>
              <wp:positionV relativeFrom="page">
                <wp:posOffset>9974580</wp:posOffset>
              </wp:positionV>
              <wp:extent cx="59690" cy="93980"/>
              <wp:wrapNone/>
              <wp:docPr id="7" name="Shape 7"/>
              <a:graphic xmlns:a="http://schemas.openxmlformats.org/drawingml/2006/main">
                <a:graphicData uri="http://schemas.microsoft.com/office/word/2010/wordprocessingShape">
                  <wps:wsp>
                    <wps:cNvSpPr txBox="1"/>
                    <wps:spPr>
                      <a:xfrm>
                        <a:ext cx="59690" cy="939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8.90000000000003pt;margin-top:785.39999999999998pt;width:4.7000000000000002pt;height:7.4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3936365</wp:posOffset>
              </wp:positionH>
              <wp:positionV relativeFrom="page">
                <wp:posOffset>10139680</wp:posOffset>
              </wp:positionV>
              <wp:extent cx="31750" cy="93980"/>
              <wp:wrapNone/>
              <wp:docPr id="13" name="Shape 13"/>
              <a:graphic xmlns:a="http://schemas.openxmlformats.org/drawingml/2006/main">
                <a:graphicData uri="http://schemas.microsoft.com/office/word/2010/wordprocessingShape">
                  <wps:wsp>
                    <wps:cNvSpPr txBox="1"/>
                    <wps:spPr>
                      <a:xfrm>
                        <a:ext cx="31750" cy="939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94999999999999pt;margin-top:798.39999999999998pt;width:2.5pt;height:7.4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3936365</wp:posOffset>
              </wp:positionH>
              <wp:positionV relativeFrom="page">
                <wp:posOffset>10139680</wp:posOffset>
              </wp:positionV>
              <wp:extent cx="31750" cy="93980"/>
              <wp:wrapNone/>
              <wp:docPr id="15" name="Shape 15"/>
              <a:graphic xmlns:a="http://schemas.openxmlformats.org/drawingml/2006/main">
                <a:graphicData uri="http://schemas.microsoft.com/office/word/2010/wordprocessingShape">
                  <wps:wsp>
                    <wps:cNvSpPr txBox="1"/>
                    <wps:spPr>
                      <a:xfrm>
                        <a:ext cx="31750" cy="939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94999999999999pt;margin-top:798.39999999999998pt;width:2.5pt;height:7.40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7"/>
      <w:szCs w:val="17"/>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6"/>
      <w:szCs w:val="26"/>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Times New Roman" w:eastAsia="Times New Roman" w:hAnsi="Times New Roman" w:cs="Times New Roman"/>
      <w:b/>
      <w:bCs/>
      <w:i w:val="0"/>
      <w:iCs w:val="0"/>
      <w:smallCaps w:val="0"/>
      <w:strike w:val="0"/>
      <w:sz w:val="26"/>
      <w:szCs w:val="26"/>
      <w:u w:val="none"/>
    </w:rPr>
  </w:style>
  <w:style w:type="paragraph" w:customStyle="1" w:styleId="Style2">
    <w:name w:val="Основной текст (3)"/>
    <w:basedOn w:val="Normal"/>
    <w:link w:val="CharStyle3"/>
    <w:pPr>
      <w:widowControl w:val="0"/>
      <w:shd w:val="clear" w:color="auto" w:fill="auto"/>
      <w:spacing w:after="160" w:line="264" w:lineRule="auto"/>
      <w:jc w:val="center"/>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Основной текст (2)"/>
    <w:basedOn w:val="Normal"/>
    <w:link w:val="CharStyle6"/>
    <w:pPr>
      <w:widowControl w:val="0"/>
      <w:shd w:val="clear" w:color="auto" w:fill="auto"/>
      <w:spacing w:after="70"/>
    </w:pPr>
    <w:rPr>
      <w:rFonts w:ascii="Times New Roman" w:eastAsia="Times New Roman" w:hAnsi="Times New Roman" w:cs="Times New Roman"/>
      <w:b w:val="0"/>
      <w:bCs w:val="0"/>
      <w:i w:val="0"/>
      <w:iCs w:val="0"/>
      <w:smallCaps w:val="0"/>
      <w:strike w:val="0"/>
      <w:sz w:val="17"/>
      <w:szCs w:val="17"/>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footer" Target="footer3.xml"/><Relationship Id="rId12" Type="http://schemas.openxmlformats.org/officeDocument/2006/relationships/footer" Target="footer4.xml"/></Relationships>
</file>