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90" w:right="536" w:bottom="650"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е-тай: 1о77@Га8.еоу.ш</w:t>
      </w:r>
    </w:p>
    <w:p>
      <w:pPr>
        <w:pStyle w:val="Style5"/>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ГБУЗ «КДЦ № 4 ДЗМ»</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Крылатские холмы, д. 3, г. Москва, 121609</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Ыс4@/ска\лпо8.П1</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«Медикэр»</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Н. Петрова, д. 2г, оф. 03,</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Улан-Удэ, Респ. Бурятия, 670045</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теШсагет@уапдех.гн</w:t>
      </w:r>
    </w:p>
    <w:p>
      <w:pPr>
        <w:pStyle w:val="Style9"/>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АО «ЕЭТП»</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Кожевническая ул., д. 14, стр. 5,</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Москва, 115114</w:t>
      </w:r>
    </w:p>
    <w:p>
      <w:pPr>
        <w:pStyle w:val="Style9"/>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390" w:right="872" w:bottom="622" w:left="1140" w:header="0" w:footer="3" w:gutter="0"/>
          <w:cols w:num="2" w:space="720" w:equalWidth="0">
            <w:col w:w="4061" w:space="1205"/>
            <w:col w:w="4622"/>
          </w:cols>
          <w:noEndnote/>
          <w:rtlGutter w:val="0"/>
          <w:docGrid w:linePitch="360"/>
        </w:sectPr>
      </w:pPr>
      <w:r>
        <w:rPr>
          <w:color w:val="000000"/>
          <w:spacing w:val="0"/>
          <w:w w:val="100"/>
          <w:position w:val="0"/>
          <w:shd w:val="clear" w:color="auto" w:fill="auto"/>
          <w:lang w:val="ru-RU" w:eastAsia="ru-RU" w:bidi="ru-RU"/>
        </w:rPr>
        <w:t>ко@го81ез1огд.ги</w:t>
      </w:r>
    </w:p>
    <w:p>
      <w:pPr>
        <w:widowControl w:val="0"/>
        <w:spacing w:line="240" w:lineRule="exact"/>
        <w:rPr>
          <w:sz w:val="19"/>
          <w:szCs w:val="19"/>
        </w:rPr>
      </w:pPr>
    </w:p>
    <w:p>
      <w:pPr>
        <w:widowControl w:val="0"/>
        <w:spacing w:before="102" w:after="10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3" w:right="0" w:bottom="702"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9"/>
        <w:keepNext w:val="0"/>
        <w:keepLines w:val="0"/>
        <w:widowControl w:val="0"/>
        <w:shd w:val="clear" w:color="auto" w:fill="auto"/>
        <w:tabs>
          <w:tab w:pos="895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077/06/106-4390/2023 о нарушении</w:t>
        <w:br/>
        <w:t>Законодательства о контрактной системе</w:t>
        <w:br/>
        <w:t>05.04.2023</w:t>
        <w:tab/>
        <w:t>г. Москва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9"/>
        <w:keepNext w:val="0"/>
        <w:keepLines w:val="0"/>
        <w:widowControl w:val="0"/>
        <w:shd w:val="clear" w:color="auto" w:fill="auto"/>
        <w:bidi w:val="0"/>
        <w:spacing w:before="0" w:after="0" w:line="221"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А.А. Матюшенко,</w:t>
      </w:r>
    </w:p>
    <w:p>
      <w:pPr>
        <w:pStyle w:val="Style9"/>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И.И. Фурсикова,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ГБУЗ «КДЦ № 4 ДЗМ»: С.М. Щербакова (по доверенности № 89 от 30.11.2022),</w:t>
      </w:r>
    </w:p>
    <w:p>
      <w:pPr>
        <w:pStyle w:val="Style9"/>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«Медикэр», о времени и порядке заседания Комиссии Управления уведомлены надлежащим образом письмом Московского</w:t>
      </w:r>
    </w:p>
    <w:p>
      <w:pPr>
        <w:pStyle w:val="Style12"/>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УФАС России от 03.04.2023 № НП/14347/23,</w:t>
      </w:r>
    </w:p>
    <w:p>
      <w:pPr>
        <w:pStyle w:val="Style9"/>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рассмотрев жалобу ООО «Медикэр» (далее — Заявитель) на действия ГБУЗ «КДЦ № 4 ДЗМ» (далее — Заказчик) при проведении электронного аукциона на право заключения государственного контракта на поставку лекарственных препаратов (Йогексол) (Закупка № 0373200153123000033) (далее — аукцион), в соответствии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письмом Московского УФАС России исх. № НП/14347/23 от 03.04.2023, Комиссия Управления установила следующее.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в составе жалобы указывает на неправомерное отклонение своей заявки на основании п.5 ч.1 ст.43 Закона о контрактной системе.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29.03.2023 №ИЭА1 заявка ООО «Медикэр» (идентификационный номер 1) признана несоответствующей на основании: </w:t>
      </w:r>
      <w:r>
        <w:rPr>
          <w:i/>
          <w:iCs/>
          <w:color w:val="000000"/>
          <w:spacing w:val="0"/>
          <w:w w:val="100"/>
          <w:position w:val="0"/>
          <w:shd w:val="clear" w:color="auto" w:fill="auto"/>
          <w:lang w:val="ru-RU" w:eastAsia="ru-RU" w:bidi="ru-RU"/>
        </w:rPr>
        <w:t>«</w:t>
      </w:r>
      <w:r>
        <w:rPr>
          <w:b/>
          <w:bCs/>
          <w:i/>
          <w:iCs/>
          <w:color w:val="000000"/>
          <w:spacing w:val="0"/>
          <w:w w:val="100"/>
          <w:position w:val="0"/>
          <w:u w:val="single"/>
          <w:shd w:val="clear" w:color="auto" w:fill="auto"/>
          <w:lang w:val="ru-RU" w:eastAsia="ru-RU" w:bidi="ru-RU"/>
        </w:rPr>
        <w:t>п.5 ч.12 ст.48 №44-ФЗ</w:t>
      </w:r>
      <w:r>
        <w:rPr>
          <w:b/>
          <w:bCs/>
          <w:i/>
          <w:iCs/>
          <w:color w:val="000000"/>
          <w:spacing w:val="0"/>
          <w:w w:val="100"/>
          <w:position w:val="0"/>
          <w:shd w:val="clear" w:color="auto" w:fill="auto"/>
          <w:lang w:val="ru-RU" w:eastAsia="ru-RU" w:bidi="ru-RU"/>
        </w:rPr>
        <w:t xml:space="preserve"> </w:t>
      </w:r>
      <w:r>
        <w:rPr>
          <w:i/>
          <w:iCs/>
          <w:color w:val="000000"/>
          <w:spacing w:val="0"/>
          <w:w w:val="100"/>
          <w:position w:val="0"/>
          <w:shd w:val="clear" w:color="auto" w:fill="auto"/>
          <w:lang w:val="ru-RU" w:eastAsia="ru-RU" w:bidi="ru-RU"/>
        </w:rPr>
        <w:t>- Непредставление информации и документов, предусмотренных п.5 ч.1 ст.43 Закона №44 ФЗ, если такие документы предусмотрены нормативными правовыми актами, принятыми в соответствии с ч.3 ст.14 настоящего Федерального закона (в случае установления в соответствии со ст.14 Закона №44 ФЗ в извещении об осуществлении закупки запрета допуска товаров, происходящих из иностранного государства или группы иностранных государств)»</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9"/>
        <w:keepNext w:val="0"/>
        <w:keepLines w:val="0"/>
        <w:widowControl w:val="0"/>
        <w:numPr>
          <w:ilvl w:val="0"/>
          <w:numId w:val="1"/>
        </w:numPr>
        <w:shd w:val="clear" w:color="auto" w:fill="auto"/>
        <w:tabs>
          <w:tab w:pos="108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члены комиссии по осуществлению закупок:</w:t>
      </w:r>
    </w:p>
    <w:p>
      <w:pPr>
        <w:pStyle w:val="Style9"/>
        <w:keepNext w:val="0"/>
        <w:keepLines w:val="0"/>
        <w:widowControl w:val="0"/>
        <w:numPr>
          <w:ilvl w:val="0"/>
          <w:numId w:val="3"/>
        </w:numPr>
        <w:shd w:val="clear" w:color="auto" w:fill="auto"/>
        <w:tabs>
          <w:tab w:pos="105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 4 ч. 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ч.12 ст. 48 Закона о контрактной системе;</w:t>
      </w:r>
    </w:p>
    <w:p>
      <w:pPr>
        <w:pStyle w:val="Style9"/>
        <w:keepNext w:val="0"/>
        <w:keepLines w:val="0"/>
        <w:widowControl w:val="0"/>
        <w:numPr>
          <w:ilvl w:val="0"/>
          <w:numId w:val="3"/>
        </w:numPr>
        <w:shd w:val="clear" w:color="auto" w:fill="auto"/>
        <w:tabs>
          <w:tab w:pos="1073" w:val="left"/>
        </w:tabs>
        <w:bidi w:val="0"/>
        <w:spacing w:before="0" w:after="280" w:line="240" w:lineRule="auto"/>
        <w:ind w:left="0" w:right="0" w:firstLine="740"/>
        <w:jc w:val="both"/>
        <w:rPr>
          <w:sz w:val="24"/>
          <w:szCs w:val="24"/>
        </w:rPr>
      </w:pPr>
      <w:r>
        <w:rPr>
          <w:color w:val="000000"/>
          <w:spacing w:val="0"/>
          <w:w w:val="100"/>
          <w:position w:val="0"/>
          <w:sz w:val="28"/>
          <w:szCs w:val="28"/>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о контрактной системе, при котором порядковые номера заявкам участников </w:t>
      </w:r>
      <w:r>
        <w:rPr>
          <w:color w:val="000000"/>
          <w:spacing w:val="0"/>
          <w:w w:val="100"/>
          <w:position w:val="0"/>
          <w:sz w:val="24"/>
          <w:szCs w:val="24"/>
          <w:shd w:val="clear" w:color="auto" w:fill="auto"/>
          <w:lang w:val="ru-RU" w:eastAsia="ru-RU" w:bidi="ru-RU"/>
        </w:rPr>
        <w:t>2023-16979</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закупки, подавших ценовые предложения после подачи ценового предложения, предусмотренного абзацем первым п. 9 ч. 3 ст.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9"/>
        <w:keepNext w:val="0"/>
        <w:keepLines w:val="0"/>
        <w:widowControl w:val="0"/>
        <w:numPr>
          <w:ilvl w:val="0"/>
          <w:numId w:val="1"/>
        </w:numPr>
        <w:shd w:val="clear" w:color="auto" w:fill="auto"/>
        <w:tabs>
          <w:tab w:pos="108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 17 ст.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5"/>
        </w:numPr>
        <w:shd w:val="clear" w:color="auto" w:fill="auto"/>
        <w:tabs>
          <w:tab w:pos="108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5"/>
        </w:numPr>
        <w:shd w:val="clear" w:color="auto" w:fill="auto"/>
        <w:tabs>
          <w:tab w:pos="108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5"/>
        </w:numPr>
        <w:shd w:val="clear" w:color="auto" w:fill="auto"/>
        <w:tabs>
          <w:tab w:pos="108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9"/>
        <w:keepNext w:val="0"/>
        <w:keepLines w:val="0"/>
        <w:widowControl w:val="0"/>
        <w:numPr>
          <w:ilvl w:val="0"/>
          <w:numId w:val="5"/>
        </w:numPr>
        <w:shd w:val="clear" w:color="auto" w:fill="auto"/>
        <w:tabs>
          <w:tab w:pos="108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9"/>
        <w:keepNext w:val="0"/>
        <w:keepLines w:val="0"/>
        <w:widowControl w:val="0"/>
        <w:numPr>
          <w:ilvl w:val="0"/>
          <w:numId w:val="5"/>
        </w:numPr>
        <w:shd w:val="clear" w:color="auto" w:fill="auto"/>
        <w:tabs>
          <w:tab w:pos="108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keepNext w:val="0"/>
        <w:keepLines w:val="0"/>
        <w:widowControl w:val="0"/>
        <w:numPr>
          <w:ilvl w:val="0"/>
          <w:numId w:val="5"/>
        </w:numPr>
        <w:shd w:val="clear" w:color="auto" w:fill="auto"/>
        <w:tabs>
          <w:tab w:pos="1086" w:val="left"/>
        </w:tabs>
        <w:bidi w:val="0"/>
        <w:spacing w:before="0" w:after="0" w:line="295" w:lineRule="auto"/>
        <w:ind w:left="0" w:right="0" w:firstLine="720"/>
        <w:jc w:val="both"/>
        <w:rPr>
          <w:sz w:val="24"/>
          <w:szCs w:val="24"/>
        </w:rPr>
      </w:pPr>
      <w:r>
        <w:rPr>
          <w:color w:val="000000"/>
          <w:spacing w:val="0"/>
          <w:w w:val="100"/>
          <w:position w:val="0"/>
          <w:sz w:val="28"/>
          <w:szCs w:val="28"/>
          <w:shd w:val="clear" w:color="auto" w:fill="auto"/>
          <w:lang w:val="ru-RU" w:eastAsia="ru-RU" w:bidi="ru-RU"/>
        </w:rPr>
        <w:t xml:space="preserve">выявления отнесения участника закупки к организациям, предусмотренным п. 4 ст. 2 Федерального закона от 4 июня 2018 года № 127-ФЗ «О мерах воздействия </w:t>
      </w:r>
      <w:r>
        <w:rPr>
          <w:color w:val="000000"/>
          <w:spacing w:val="0"/>
          <w:w w:val="100"/>
          <w:position w:val="0"/>
          <w:sz w:val="24"/>
          <w:szCs w:val="24"/>
          <w:shd w:val="clear" w:color="auto" w:fill="auto"/>
          <w:lang w:val="ru-RU" w:eastAsia="ru-RU" w:bidi="ru-RU"/>
        </w:rPr>
        <w:t>2023-16979</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keepNext w:val="0"/>
        <w:keepLines w:val="0"/>
        <w:widowControl w:val="0"/>
        <w:numPr>
          <w:ilvl w:val="0"/>
          <w:numId w:val="5"/>
        </w:numPr>
        <w:shd w:val="clear" w:color="auto" w:fill="auto"/>
        <w:tabs>
          <w:tab w:pos="180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9"/>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9"/>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Извещении о проведении электронного аукциона, а также в п. 9. Информационной карты извещения о проведении электронного аукциона указано на применение в рамках рассматриваемой закупки условия допуска в соответствии с положениями приказа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9"/>
        <w:keepNext w:val="0"/>
        <w:keepLines w:val="0"/>
        <w:widowControl w:val="0"/>
        <w:shd w:val="clear" w:color="auto" w:fill="auto"/>
        <w:bidi w:val="0"/>
        <w:spacing w:before="0" w:after="0" w:line="240" w:lineRule="auto"/>
        <w:ind w:left="0" w:right="0" w:firstLine="720"/>
        <w:jc w:val="both"/>
        <w:rPr>
          <w:sz w:val="24"/>
          <w:szCs w:val="24"/>
        </w:rPr>
        <w:sectPr>
          <w:footnotePr>
            <w:pos w:val="pageBottom"/>
            <w:numFmt w:val="decimal"/>
            <w:numRestart w:val="continuous"/>
          </w:footnotePr>
          <w:type w:val="continuous"/>
          <w:pgSz w:w="11900" w:h="16840"/>
          <w:pgMar w:top="1113" w:right="538" w:bottom="702" w:left="1100"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В соответствии с п. 5 ч. 1 ст. 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 3 и 4 ст.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w:t>
      </w:r>
      <w:r>
        <w:rPr>
          <w:color w:val="000000"/>
          <w:spacing w:val="0"/>
          <w:w w:val="100"/>
          <w:position w:val="0"/>
          <w:sz w:val="24"/>
          <w:szCs w:val="24"/>
          <w:shd w:val="clear" w:color="auto" w:fill="auto"/>
          <w:lang w:val="ru-RU" w:eastAsia="ru-RU" w:bidi="ru-RU"/>
        </w:rPr>
        <w:t>2023-16979</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при рассмотрении заявок имелись основания для применения условий допуска согласно постановлению № 126н, ввиду чего комиссией по проведению закупок принято решение об отклонении заявки Заявителя.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в обоснование причины отклонения неправомерно указано на п.5 ч.12 ст.48 Закона о контрактной системе, в то время как основанием отклонения заявки при применении ограничений и условий допуска является п.4 ч.12 ст 48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свою очередь, Комиссия Управления отмечает, что при отклонении заявки Заявителя комиссия Заказчика в силу применения условий допуска, предусмотренных постановлением № 126н, должна была руководствоваться положениями п.4 ч.12 ст.48 Закона о контрактной системе, а не п.5 ч.12 ст.48 Закона о контрактной системе, как следует из протокола подведения итогов, поскольку в данном пункте указано, что он применяется исключительно в случае установления запрета допуска товаров, происходящих из иностранного государства или группы иностранных государств.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 13 ст. 44 Закона о контрактной системе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w:t>
      </w:r>
      <w:r>
        <w:rPr>
          <w:i/>
          <w:iCs/>
          <w:color w:val="000000"/>
          <w:spacing w:val="0"/>
          <w:w w:val="100"/>
          <w:position w:val="0"/>
          <w:u w:val="single"/>
          <w:shd w:val="clear" w:color="auto" w:fill="auto"/>
          <w:lang w:val="ru-RU" w:eastAsia="ru-RU" w:bidi="ru-RU"/>
        </w:rPr>
        <w:t>пп. 1 - 3, 5 - 9 ч. 12 ст. 48</w:t>
      </w:r>
      <w:r>
        <w:rPr>
          <w:color w:val="000000"/>
          <w:spacing w:val="0"/>
          <w:w w:val="100"/>
          <w:position w:val="0"/>
          <w:shd w:val="clear" w:color="auto" w:fill="auto"/>
          <w:lang w:val="ru-RU" w:eastAsia="ru-RU" w:bidi="ru-RU"/>
        </w:rPr>
        <w:t xml:space="preserve"> Закона о контрактной системе, в порядке, предусмотренном ч. 14 ст. 44 Закона о контрактной системе,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ч. 15 ст. 44 Закона о контрактной системе, предъявляется требование об уплате денежной суммы по независимой гарантии, предоставленной для обеспечения каждой третьей такой заявки.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положений данной нормы следует, что участник закупки, подавший заявку на участие в закупочной процедуре, в случае признании такой заявки несоответствующей на основании п.5 ч.12 ст. 48 Закона о контрактной системе, несет за собой риск удержания заблокированных на специальном счете участника закупки денежных средств.</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об обоснованности доводов жалобы и нарушении в действиях комиссии Заказчика ч.5 ст.49 Закона о контрактной системе, а также о наличии признаков состава административного правонарушения, предусмотренного ч.2 ст.7.30 Кодекса Российской Федерации об административных правонарушениях.</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numPr>
          <w:ilvl w:val="0"/>
          <w:numId w:val="7"/>
        </w:numPr>
        <w:shd w:val="clear" w:color="auto" w:fill="auto"/>
        <w:tabs>
          <w:tab w:pos="10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«Медикэр» на действия ГБУЗ «КДЦ № 4 ДЗМ» обоснованной.</w:t>
      </w:r>
    </w:p>
    <w:p>
      <w:pPr>
        <w:pStyle w:val="Style9"/>
        <w:keepNext w:val="0"/>
        <w:keepLines w:val="0"/>
        <w:widowControl w:val="0"/>
        <w:numPr>
          <w:ilvl w:val="0"/>
          <w:numId w:val="7"/>
        </w:numPr>
        <w:shd w:val="clear" w:color="auto" w:fill="auto"/>
        <w:tabs>
          <w:tab w:pos="102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Заказчика нарушение ч.5 ст.49 Закона о контрактной системе.</w:t>
      </w:r>
    </w:p>
    <w:p>
      <w:pPr>
        <w:pStyle w:val="Style9"/>
        <w:keepNext w:val="0"/>
        <w:keepLines w:val="0"/>
        <w:widowControl w:val="0"/>
        <w:numPr>
          <w:ilvl w:val="0"/>
          <w:numId w:val="7"/>
        </w:numPr>
        <w:shd w:val="clear" w:color="auto" w:fill="auto"/>
        <w:tabs>
          <w:tab w:pos="10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9"/>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9"/>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9"/>
        <w:keepNext w:val="0"/>
        <w:keepLines w:val="0"/>
        <w:widowControl w:val="0"/>
        <w:shd w:val="clear" w:color="auto" w:fill="auto"/>
        <w:tabs>
          <w:tab w:pos="8467" w:val="left"/>
        </w:tabs>
        <w:bidi w:val="0"/>
        <w:spacing w:before="0" w:after="280" w:line="240" w:lineRule="auto"/>
        <w:ind w:left="0" w:right="0" w:firstLine="0"/>
        <w:jc w:val="both"/>
      </w:pPr>
      <w:r>
        <w:rPr>
          <w:color w:val="000000"/>
          <w:spacing w:val="0"/>
          <w:w w:val="100"/>
          <w:position w:val="0"/>
          <w:shd w:val="clear" w:color="auto" w:fill="auto"/>
          <w:lang w:val="ru-RU" w:eastAsia="ru-RU" w:bidi="ru-RU"/>
        </w:rPr>
        <w:t>Председательствующий:</w:t>
        <w:tab/>
        <w:t>Е.А.Миронова</w:t>
      </w:r>
    </w:p>
    <w:p>
      <w:pPr>
        <w:pStyle w:val="Style9"/>
        <w:keepNext w:val="0"/>
        <w:keepLines w:val="0"/>
        <w:widowControl w:val="0"/>
        <w:shd w:val="clear" w:color="auto" w:fill="auto"/>
        <w:tabs>
          <w:tab w:pos="8102" w:val="left"/>
        </w:tabs>
        <w:bidi w:val="0"/>
        <w:spacing w:before="0" w:after="280" w:line="240" w:lineRule="auto"/>
        <w:ind w:left="0" w:right="0" w:firstLine="0"/>
        <w:jc w:val="both"/>
      </w:pPr>
      <w:r>
        <w:rPr>
          <w:color w:val="000000"/>
          <w:spacing w:val="0"/>
          <w:w w:val="100"/>
          <w:position w:val="0"/>
          <w:shd w:val="clear" w:color="auto" w:fill="auto"/>
          <w:lang w:val="ru-RU" w:eastAsia="ru-RU" w:bidi="ru-RU"/>
        </w:rPr>
        <w:t>Члены Комиссии</w:t>
        <w:tab/>
        <w:t>А.А.Матюшенко</w:t>
      </w:r>
    </w:p>
    <w:p>
      <w:pPr>
        <w:pStyle w:val="Style9"/>
        <w:keepNext w:val="0"/>
        <w:keepLines w:val="0"/>
        <w:widowControl w:val="0"/>
        <w:shd w:val="clear" w:color="auto" w:fill="auto"/>
        <w:bidi w:val="0"/>
        <w:spacing w:before="0" w:after="7080" w:line="240" w:lineRule="auto"/>
        <w:ind w:left="0" w:right="0" w:firstLine="0"/>
        <w:jc w:val="right"/>
      </w:pPr>
      <w:r>
        <w:rPr>
          <w:color w:val="000000"/>
          <w:spacing w:val="0"/>
          <w:w w:val="100"/>
          <w:position w:val="0"/>
          <w:shd w:val="clear" w:color="auto" w:fill="auto"/>
          <w:lang w:val="ru-RU" w:eastAsia="ru-RU" w:bidi="ru-RU"/>
        </w:rPr>
        <w:t>И.И.Фурсиков</w:t>
      </w:r>
    </w:p>
    <w:p>
      <w:pPr>
        <w:pStyle w:val="Style19"/>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Исп.Фурсиков И.И. тел.(495) 784-75-05</w:t>
      </w:r>
    </w:p>
    <w:sectPr>
      <w:headerReference w:type="default" r:id="rId11"/>
      <w:footerReference w:type="default" r:id="rId12"/>
      <w:footnotePr>
        <w:pos w:val="pageBottom"/>
        <w:numFmt w:val="decimal"/>
        <w:numRestart w:val="continuous"/>
      </w:footnotePr>
      <w:pgSz w:w="11900" w:h="16840"/>
      <w:pgMar w:top="1158" w:right="537" w:bottom="1115" w:left="110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723900</wp:posOffset>
              </wp:positionH>
              <wp:positionV relativeFrom="page">
                <wp:posOffset>10217150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2023-16979</w:t>
                          </w:r>
                        </w:p>
                      </w:txbxContent>
                    </wps:txbx>
                    <wps:bodyPr wrap="none" lIns="0" tIns="0" rIns="0" bIns="0">
                      <a:spAutoFit/>
                    </wps:bodyPr>
                  </wps:wsp>
                </a:graphicData>
              </a:graphic>
            </wp:anchor>
          </w:drawing>
        </mc:Choice>
        <mc:Fallback>
          <w:pict>
            <v:shape id="_x0000_s1031" type="#_x0000_t202" style="position:absolute;margin-left:57.pt;margin-top:804.5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2023-16979</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725805</wp:posOffset>
              </wp:positionH>
              <wp:positionV relativeFrom="page">
                <wp:posOffset>10092690</wp:posOffset>
              </wp:positionV>
              <wp:extent cx="722630" cy="100330"/>
              <wp:wrapNone/>
              <wp:docPr id="9" name="Shape 9"/>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2023-16979</w:t>
                          </w:r>
                        </w:p>
                      </w:txbxContent>
                    </wps:txbx>
                    <wps:bodyPr wrap="none" lIns="0" tIns="0" rIns="0" bIns="0">
                      <a:spAutoFit/>
                    </wps:bodyPr>
                  </wps:wsp>
                </a:graphicData>
              </a:graphic>
            </wp:anchor>
          </w:drawing>
        </mc:Choice>
        <mc:Fallback>
          <w:pict>
            <v:shape id="_x0000_s1035" type="#_x0000_t202" style="position:absolute;margin-left:57.149999999999999pt;margin-top:794.70000000000005pt;width:56.899999999999999pt;height:7.9000000000000004pt;z-index:-1887440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2023-16979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3926205</wp:posOffset>
              </wp:positionH>
              <wp:positionV relativeFrom="page">
                <wp:posOffset>445135</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5000000000003pt;margin-top:35.050000000000004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3926205</wp:posOffset>
              </wp:positionH>
              <wp:positionV relativeFrom="page">
                <wp:posOffset>476250</wp:posOffset>
              </wp:positionV>
              <wp:extent cx="64135" cy="103505"/>
              <wp:wrapNone/>
              <wp:docPr id="7" name="Shape 7"/>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9.15000000000003pt;margin-top:37.5pt;width:5.0499999999999998pt;height:8.15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160A9"/>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34"/>
      <w:szCs w:val="34"/>
      <w:u w:val="none"/>
    </w:rPr>
  </w:style>
  <w:style w:type="character" w:customStyle="1" w:styleId="CharStyle20">
    <w:name w:val="Основной текст (3)_"/>
    <w:basedOn w:val="DefaultParagraphFont"/>
    <w:link w:val="Style1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160A9"/>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Заголовок №1"/>
    <w:basedOn w:val="Normal"/>
    <w:link w:val="CharStyle13"/>
    <w:pPr>
      <w:widowControl w:val="0"/>
      <w:shd w:val="clear" w:color="auto" w:fill="auto"/>
      <w:spacing w:after="160"/>
      <w:ind w:firstLine="360"/>
      <w:outlineLvl w:val="0"/>
    </w:pPr>
    <w:rPr>
      <w:rFonts w:ascii="Arial" w:eastAsia="Arial" w:hAnsi="Arial" w:cs="Arial"/>
      <w:b w:val="0"/>
      <w:bCs w:val="0"/>
      <w:i w:val="0"/>
      <w:iCs w:val="0"/>
      <w:smallCaps w:val="0"/>
      <w:strike w:val="0"/>
      <w:sz w:val="34"/>
      <w:szCs w:val="34"/>
      <w:u w:val="none"/>
    </w:rPr>
  </w:style>
  <w:style w:type="paragraph" w:customStyle="1" w:styleId="Style19">
    <w:name w:val="Основной текст (3)"/>
    <w:basedOn w:val="Normal"/>
    <w:link w:val="CharStyle20"/>
    <w:pPr>
      <w:widowControl w:val="0"/>
      <w:shd w:val="clear" w:color="auto" w:fill="auto"/>
      <w:spacing w:after="2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s>
</file>