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2501900</wp:posOffset>
            </wp:positionH>
            <wp:positionV relativeFrom="margin">
              <wp:posOffset>0</wp:posOffset>
            </wp:positionV>
            <wp:extent cx="433070" cy="48768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33070" cy="487680"/>
                    </a:xfrm>
                    <a:prstGeom prst="rect"/>
                  </pic:spPr>
                </pic:pic>
              </a:graphicData>
            </a:graphic>
          </wp:anchor>
        </w:drawing>
      </w:r>
    </w:p>
    <w:p>
      <w:pPr>
        <w:widowControl w:val="0"/>
        <w:spacing w:after="407" w:line="1" w:lineRule="exact"/>
      </w:pPr>
    </w:p>
    <w:p>
      <w:pPr>
        <w:widowControl w:val="0"/>
        <w:spacing w:line="1" w:lineRule="exact"/>
        <w:sectPr>
          <w:headerReference w:type="default" r:id="rId7"/>
          <w:headerReference w:type="first" r:id="rId8"/>
          <w:footnotePr>
            <w:pos w:val="pageBottom"/>
            <w:numFmt w:val="decimal"/>
            <w:numRestart w:val="continuous"/>
          </w:footnotePr>
          <w:pgSz w:w="8400" w:h="11900"/>
          <w:pgMar w:top="728" w:right="721" w:bottom="974" w:left="888"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18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УПРАВЛЕНИЕ ФЕДЕРАЛЬНОЙ АНТИМОНОПОЛЬНОЙ СЛУЖБЫ</w:t>
        <w:br/>
        <w:t>ПО РЕСПУБЛИКЕ КОМИ</w:t>
      </w:r>
    </w:p>
    <w:p>
      <w:pPr>
        <w:pStyle w:val="Style7"/>
        <w:keepNext/>
        <w:keepLines/>
        <w:widowControl w:val="0"/>
        <w:shd w:val="clear" w:color="auto" w:fill="auto"/>
        <w:bidi w:val="0"/>
        <w:spacing w:before="0" w:line="259" w:lineRule="auto"/>
        <w:ind w:right="0" w:firstLine="0"/>
        <w:jc w:val="right"/>
      </w:pPr>
      <w:bookmarkStart w:id="0" w:name="bookmark0"/>
      <w:r>
        <w:rPr>
          <w:color w:val="000000"/>
          <w:spacing w:val="0"/>
          <w:w w:val="100"/>
          <w:position w:val="0"/>
          <w:shd w:val="clear" w:color="auto" w:fill="auto"/>
          <w:lang w:val="ru-RU" w:eastAsia="ru-RU" w:bidi="ru-RU"/>
        </w:rPr>
        <w:t>Общество с ограниченной ответственностью «Хека»</w:t>
      </w:r>
      <w:bookmarkEnd w:id="0"/>
    </w:p>
    <w:p>
      <w:pPr>
        <w:pStyle w:val="Style2"/>
        <w:keepNext w:val="0"/>
        <w:keepLines w:val="0"/>
        <w:widowControl w:val="0"/>
        <w:shd w:val="clear" w:color="auto" w:fill="auto"/>
        <w:bidi w:val="0"/>
        <w:spacing w:before="0" w:after="180" w:line="252" w:lineRule="auto"/>
        <w:ind w:left="3540" w:right="0" w:firstLine="0"/>
        <w:jc w:val="both"/>
      </w:pPr>
      <w:r>
        <w:rPr>
          <w:color w:val="000000"/>
          <w:spacing w:val="0"/>
          <w:w w:val="100"/>
          <w:position w:val="0"/>
          <w:shd w:val="clear" w:color="auto" w:fill="auto"/>
          <w:lang w:val="ru-RU" w:eastAsia="ru-RU" w:bidi="ru-RU"/>
        </w:rPr>
        <w:t>через Единую информационную систему</w:t>
      </w:r>
    </w:p>
    <w:p>
      <w:pPr>
        <w:pStyle w:val="Style7"/>
        <w:keepNext/>
        <w:keepLines/>
        <w:widowControl w:val="0"/>
        <w:shd w:val="clear" w:color="auto" w:fill="auto"/>
        <w:bidi w:val="0"/>
        <w:spacing w:before="0" w:line="252" w:lineRule="auto"/>
        <w:ind w:left="0" w:right="0" w:firstLine="0"/>
        <w:jc w:val="right"/>
      </w:pPr>
      <w:bookmarkStart w:id="2" w:name="bookmark2"/>
      <w:r>
        <w:rPr>
          <w:color w:val="000000"/>
          <w:spacing w:val="0"/>
          <w:w w:val="100"/>
          <w:position w:val="0"/>
          <w:shd w:val="clear" w:color="auto" w:fill="auto"/>
          <w:lang w:val="ru-RU" w:eastAsia="ru-RU" w:bidi="ru-RU"/>
        </w:rPr>
        <w:t>Министерство здравоохранения Республики Коми</w:t>
      </w:r>
      <w:bookmarkEnd w:id="2"/>
    </w:p>
    <w:p>
      <w:pPr>
        <w:pStyle w:val="Style2"/>
        <w:keepNext w:val="0"/>
        <w:keepLines w:val="0"/>
        <w:widowControl w:val="0"/>
        <w:shd w:val="clear" w:color="auto" w:fill="auto"/>
        <w:bidi w:val="0"/>
        <w:spacing w:before="0" w:after="180" w:line="252" w:lineRule="auto"/>
        <w:ind w:left="3540" w:right="0" w:firstLine="0"/>
        <w:jc w:val="both"/>
      </w:pPr>
      <w:r>
        <w:rPr>
          <w:color w:val="000000"/>
          <w:spacing w:val="0"/>
          <w:w w:val="100"/>
          <w:position w:val="0"/>
          <w:shd w:val="clear" w:color="auto" w:fill="auto"/>
          <w:lang w:val="ru-RU" w:eastAsia="ru-RU" w:bidi="ru-RU"/>
        </w:rPr>
        <w:t>через Единую информационную систему</w:t>
      </w:r>
    </w:p>
    <w:p>
      <w:pPr>
        <w:pStyle w:val="Style2"/>
        <w:keepNext w:val="0"/>
        <w:keepLines w:val="0"/>
        <w:widowControl w:val="0"/>
        <w:shd w:val="clear" w:color="auto" w:fill="auto"/>
        <w:bidi w:val="0"/>
        <w:spacing w:before="0" w:after="180" w:line="240" w:lineRule="auto"/>
        <w:ind w:left="3500" w:right="0" w:firstLine="0"/>
        <w:jc w:val="right"/>
      </w:pPr>
      <w:r>
        <w:rPr>
          <w:b/>
          <w:bCs/>
          <w:color w:val="000000"/>
          <w:spacing w:val="0"/>
          <w:w w:val="100"/>
          <w:position w:val="0"/>
          <w:shd w:val="clear" w:color="auto" w:fill="auto"/>
          <w:lang w:val="ru-RU" w:eastAsia="ru-RU" w:bidi="ru-RU"/>
        </w:rPr>
        <w:t>Государственное казенное учреждение Республики Коми «Центр обеспечения организации и проведения торгов»</w:t>
      </w:r>
    </w:p>
    <w:p>
      <w:pPr>
        <w:pStyle w:val="Style2"/>
        <w:keepNext w:val="0"/>
        <w:keepLines w:val="0"/>
        <w:widowControl w:val="0"/>
        <w:shd w:val="clear" w:color="auto" w:fill="auto"/>
        <w:bidi w:val="0"/>
        <w:spacing w:before="0" w:after="180" w:line="252" w:lineRule="auto"/>
        <w:ind w:left="3540" w:right="0" w:firstLine="0"/>
        <w:jc w:val="both"/>
      </w:pPr>
      <w:r>
        <w:rPr>
          <w:color w:val="000000"/>
          <w:spacing w:val="0"/>
          <w:w w:val="100"/>
          <w:position w:val="0"/>
          <w:shd w:val="clear" w:color="auto" w:fill="auto"/>
          <w:lang w:val="ru-RU" w:eastAsia="ru-RU" w:bidi="ru-RU"/>
        </w:rPr>
        <w:t>через Единую информационную систему</w:t>
      </w:r>
    </w:p>
    <w:p>
      <w:pPr>
        <w:pStyle w:val="Style7"/>
        <w:keepNext/>
        <w:keepLines/>
        <w:widowControl w:val="0"/>
        <w:shd w:val="clear" w:color="auto" w:fill="auto"/>
        <w:bidi w:val="0"/>
        <w:spacing w:before="0"/>
        <w:ind w:right="0" w:firstLine="0"/>
        <w:jc w:val="right"/>
      </w:pPr>
      <w:bookmarkStart w:id="4" w:name="bookmark4"/>
      <w:r>
        <w:rPr>
          <w:color w:val="000000"/>
          <w:spacing w:val="0"/>
          <w:w w:val="100"/>
          <w:position w:val="0"/>
          <w:shd w:val="clear" w:color="auto" w:fill="auto"/>
          <w:lang w:val="ru-RU" w:eastAsia="ru-RU" w:bidi="ru-RU"/>
        </w:rPr>
        <w:t>Общество с ограниченной ответственностью «РТС-тендер»</w:t>
      </w:r>
      <w:bookmarkEnd w:id="4"/>
    </w:p>
    <w:p>
      <w:pPr>
        <w:pStyle w:val="Style2"/>
        <w:keepNext w:val="0"/>
        <w:keepLines w:val="0"/>
        <w:widowControl w:val="0"/>
        <w:shd w:val="clear" w:color="auto" w:fill="auto"/>
        <w:bidi w:val="0"/>
        <w:spacing w:before="0" w:after="360" w:line="252" w:lineRule="auto"/>
        <w:ind w:left="3540" w:right="0" w:firstLine="0"/>
        <w:jc w:val="both"/>
      </w:pPr>
      <w:r>
        <w:rPr>
          <w:color w:val="000000"/>
          <w:spacing w:val="0"/>
          <w:w w:val="100"/>
          <w:position w:val="0"/>
          <w:shd w:val="clear" w:color="auto" w:fill="auto"/>
          <w:lang w:val="ru-RU" w:eastAsia="ru-RU" w:bidi="ru-RU"/>
        </w:rPr>
        <w:t>через Единую информационную систему</w:t>
      </w:r>
    </w:p>
    <w:p>
      <w:pPr>
        <w:pStyle w:val="Style10"/>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hd w:val="clear" w:color="auto" w:fill="auto"/>
          <w:lang w:val="ru-RU" w:eastAsia="ru-RU" w:bidi="ru-RU"/>
        </w:rPr>
        <w:t>РЕШЕНИЕ</w:t>
      </w:r>
      <w:bookmarkEnd w:id="6"/>
    </w:p>
    <w:p>
      <w:pPr>
        <w:pStyle w:val="Style2"/>
        <w:keepNext w:val="0"/>
        <w:keepLines w:val="0"/>
        <w:widowControl w:val="0"/>
        <w:shd w:val="clear" w:color="auto" w:fill="auto"/>
        <w:bidi w:val="0"/>
        <w:spacing w:before="0" w:after="18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624840</wp:posOffset>
                </wp:positionH>
                <wp:positionV relativeFrom="paragraph">
                  <wp:posOffset>279400</wp:posOffset>
                </wp:positionV>
                <wp:extent cx="905510" cy="140335"/>
                <wp:wrapTopAndBottom/>
                <wp:docPr id="5" name="Shape 5"/>
                <a:graphic xmlns:a="http://schemas.openxmlformats.org/drawingml/2006/main">
                  <a:graphicData uri="http://schemas.microsoft.com/office/word/2010/wordprocessingShape">
                    <wps:wsp>
                      <wps:cNvSpPr txBox="1"/>
                      <wps:spPr>
                        <a:xfrm>
                          <a:ext cx="905510"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15 марта 2023 года</w:t>
                            </w:r>
                          </w:p>
                        </w:txbxContent>
                      </wps:txbx>
                      <wps:bodyPr wrap="none" lIns="0" tIns="0" rIns="0" bIns="0">
                        <a:noAutoFit/>
                      </wps:bodyPr>
                    </wps:wsp>
                  </a:graphicData>
                </a:graphic>
              </wp:anchor>
            </w:drawing>
          </mc:Choice>
          <mc:Fallback>
            <w:pict>
              <v:shape id="_x0000_s1031" type="#_x0000_t202" style="position:absolute;margin-left:49.200000000000003pt;margin-top:22.pt;width:71.299999999999997pt;height:11.05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15 марта 2023 года</w:t>
                      </w:r>
                    </w:p>
                  </w:txbxContent>
                </v:textbox>
                <w10:wrap type="topAndBottom" anchorx="page"/>
              </v:shape>
            </w:pict>
          </mc:Fallback>
        </mc:AlternateContent>
      </w:r>
      <w:r>
        <mc:AlternateContent>
          <mc:Choice Requires="wps">
            <w:drawing>
              <wp:anchor distT="0" distB="0" distL="76200" distR="76200" simplePos="0" relativeHeight="125829380" behindDoc="0" locked="0" layoutInCell="1" allowOverlap="1">
                <wp:simplePos x="0" y="0"/>
                <wp:positionH relativeFrom="page">
                  <wp:posOffset>3578225</wp:posOffset>
                </wp:positionH>
                <wp:positionV relativeFrom="paragraph">
                  <wp:posOffset>12700</wp:posOffset>
                </wp:positionV>
                <wp:extent cx="1298575" cy="466090"/>
                <wp:wrapSquare wrapText="bothSides"/>
                <wp:docPr id="7" name="Shape 7"/>
                <a:graphic xmlns:a="http://schemas.openxmlformats.org/drawingml/2006/main">
                  <a:graphicData uri="http://schemas.microsoft.com/office/word/2010/wordprocessingShape">
                    <wps:wsp>
                      <wps:cNvSpPr txBox="1"/>
                      <wps:spPr>
                        <a:xfrm>
                          <a:ext cx="1298575" cy="4660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М/М/</w:t>
                            </w:r>
                          </w:p>
                        </w:txbxContent>
                      </wps:txbx>
                      <wps:bodyPr wrap="none" lIns="0" tIns="0" rIns="0" bIns="0">
                        <a:noAutoFit/>
                      </wps:bodyPr>
                    </wps:wsp>
                  </a:graphicData>
                </a:graphic>
              </wp:anchor>
            </w:drawing>
          </mc:Choice>
          <mc:Fallback>
            <w:pict>
              <v:shape id="_x0000_s1033" type="#_x0000_t202" style="position:absolute;margin-left:281.75pt;margin-top:1.pt;width:102.25pt;height:36.700000000000003pt;z-index:-125829373;mso-wrap-distance-left:6.pt;mso-wrap-distance-right:6.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М/М/</w:t>
                      </w:r>
                    </w:p>
                  </w:txbxContent>
                </v:textbox>
                <w10:wrap type="square" anchorx="page"/>
              </v:shape>
            </w:pict>
          </mc:Fallback>
        </mc:AlternateContent>
      </w:r>
      <w:r>
        <w:rPr>
          <w:color w:val="000000"/>
          <w:spacing w:val="0"/>
          <w:w w:val="100"/>
          <w:position w:val="0"/>
          <w:shd w:val="clear" w:color="auto" w:fill="auto"/>
          <w:lang w:val="ru-RU" w:eastAsia="ru-RU" w:bidi="ru-RU"/>
        </w:rPr>
        <w:t>по жалобе № 011/06/49-200/2023</w:t>
      </w:r>
    </w:p>
    <w:p>
      <w:pPr>
        <w:pStyle w:val="Style2"/>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lang w:val="ru-RU" w:eastAsia="ru-RU" w:bidi="ru-RU"/>
        </w:rPr>
        <w:t>г. Сыктывкар</w:t>
      </w:r>
    </w:p>
    <w:p>
      <w:pPr>
        <w:pStyle w:val="Style2"/>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созданная приказом руководителя Коми УФАС России от 15.03.2023 № 26, в составе: Гуревской Н.В. - руководителя управления, председателя Комиссии; Овериной А.В. - главного специалиста - эксперта управления, члена Комиссии; Растегаевой А.Д. - специалиста - эксперта управления, члена Комиссии (далее - Комиссия Коми УФАС России), рассмотрев жалобу общества с ограниченной ответственностью «Хека» (105120, г. Москва, вн.тер.г, муниципальный округ Таганский, Гжельский пер, д. 20, эт/оф 2/219, ОГРН: 1227700387573, ИНН: 9709082680, КПП: 770901001) (далее - ООО «Хека») от 07.03.2023 (вх. от 09.03.2023 № 1158-ээ) на действия заказчика - Министерства здравоохранения Республики Коми (167000, Республика Коми, город Сыктывкар, улица Ленина, 73, ОГРН: 1061101037370, ИНН: 1101486491, КПП: 110101001) при определении положений извещения о закупке способом электронного аукциона «Поставка стола операционного универсального, электромеханического, с питанием от сети планируемого к приобретению в рамках реализации мероприятий развития центров экономического роста субъектов Российской</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Федерации, входящих в состав Арктической зоны Российской Федерации в 2023 году», извещение № 0307200030623000381 (далее - жалоба),</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при участии в рассмотрении жалобы посредством веб-видеоконференции: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-Лещикова А.А., представителя ООО «Хека» по доверенности от 21.09.2022,</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-Поволокина А.Г., Цыгановой К.А., представителей Министерства здравоохранения Республики Коми по доверенностям от 15.03.2023 № 30/01-13, от 03.03.2023 № 26/01-13 соответственно,</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при участии в рассмотрении жалобы:</w:t>
      </w:r>
    </w:p>
    <w:p>
      <w:pPr>
        <w:pStyle w:val="Style2"/>
        <w:keepNext w:val="0"/>
        <w:keepLines w:val="0"/>
        <w:widowControl w:val="0"/>
        <w:shd w:val="clear" w:color="auto" w:fill="auto"/>
        <w:bidi w:val="0"/>
        <w:spacing w:before="0" w:after="200" w:line="240" w:lineRule="auto"/>
        <w:ind w:left="0" w:right="0" w:firstLine="500"/>
        <w:jc w:val="both"/>
      </w:pPr>
      <w:r>
        <w:rPr>
          <w:color w:val="000000"/>
          <w:spacing w:val="0"/>
          <w:w w:val="100"/>
          <w:position w:val="0"/>
          <w:shd w:val="clear" w:color="auto" w:fill="auto"/>
          <w:lang w:val="ru-RU" w:eastAsia="ru-RU" w:bidi="ru-RU"/>
        </w:rPr>
        <w:t>-Бабичевой Н.С., Якимовой Ю.А., представителей государственного казенного учреждения Республики Коми «Центр обеспечения организации и проведения торгов» (далее - ГКУ РК «Центр обеспечения организации и проведения торгов») по доверенностям от 10.01.2023 № 4, № 2 соответственно,</w:t>
      </w:r>
    </w:p>
    <w:p>
      <w:pPr>
        <w:pStyle w:val="Style7"/>
        <w:keepNext/>
        <w:keepLines/>
        <w:widowControl w:val="0"/>
        <w:shd w:val="clear" w:color="auto" w:fill="auto"/>
        <w:bidi w:val="0"/>
        <w:spacing w:before="0" w:after="200" w:line="240" w:lineRule="auto"/>
        <w:ind w:left="0" w:right="0" w:firstLine="0"/>
        <w:jc w:val="center"/>
      </w:pPr>
      <w:bookmarkStart w:id="8" w:name="bookmark8"/>
      <w:r>
        <w:rPr>
          <w:color w:val="000000"/>
          <w:spacing w:val="0"/>
          <w:w w:val="100"/>
          <w:position w:val="0"/>
          <w:shd w:val="clear" w:color="auto" w:fill="auto"/>
          <w:lang w:val="ru-RU" w:eastAsia="ru-RU" w:bidi="ru-RU"/>
        </w:rPr>
        <w:t>УСТАНОВИЛА:</w:t>
      </w:r>
      <w:bookmarkEnd w:id="8"/>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«Хека» от 07.03.2023 (вх. от 09.03.2023 № 1158-ээ) на действия заказчика - Министерства здравоохранения Республики Коми при определении положений извещения о закупке способом электронного аукциона «Поставка стола операционного универсального, электромеханического, с питанием от сети планируемого к приобретению в рамках реализации мероприятий развития центров экономического роста субъектов Российской Федерации, входящих в состав Арктической зоны Российской Федерации в 2023 году», извещение № 0307200030623000381 (далее - закупка, электронный аукцион).</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1 части 2 статьи 105 Закона о контрактной системе. В связи с чем жалоба принята Коми УФАС России к рассмотрению.</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ООО «Хека», Министерство здравоохранения Республики Коми, ГКУ РК «Центр обеспечения организации и проведения торгов», общество с ограниченной ответственностью «РТС-тендер» (оператор электронной площадки) о времени, дате, месте рассмотрения жалобы надлежащим образом извещены.</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ООО «Хека» заявлено ходатайство вх. от 15.03.2023 № 1238-э о рассмотрении жалобы в формате веб-видеоконференции.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связи с наличием технической возможности осуществления видео-конференц- связи при рассмотрении жалобы и проведения внеплановой проверки, ходатайство ООО «Хека» удовлетворено.</w:t>
      </w:r>
    </w:p>
    <w:p>
      <w:pPr>
        <w:pStyle w:val="Style2"/>
        <w:keepNext w:val="0"/>
        <w:keepLines w:val="0"/>
        <w:widowControl w:val="0"/>
        <w:shd w:val="clear" w:color="auto" w:fill="auto"/>
        <w:bidi w:val="0"/>
        <w:spacing w:before="0" w:after="0" w:line="240" w:lineRule="auto"/>
        <w:ind w:left="0" w:right="0" w:firstLine="500"/>
        <w:jc w:val="both"/>
        <w:sectPr>
          <w:footnotePr>
            <w:pos w:val="pageBottom"/>
            <w:numFmt w:val="decimal"/>
            <w:numRestart w:val="continuous"/>
          </w:footnotePr>
          <w:type w:val="continuous"/>
          <w:pgSz w:w="8400" w:h="11900"/>
          <w:pgMar w:top="803" w:right="935" w:bottom="950" w:left="626" w:header="0" w:footer="3" w:gutter="0"/>
          <w:cols w:space="720"/>
          <w:noEndnote/>
          <w:rtlGutter w:val="0"/>
          <w:docGrid w:linePitch="360"/>
        </w:sectPr>
      </w:pPr>
      <w:r>
        <w:rPr>
          <w:color w:val="000000"/>
          <w:spacing w:val="0"/>
          <w:w w:val="100"/>
          <w:position w:val="0"/>
          <w:shd w:val="clear" w:color="auto" w:fill="auto"/>
          <w:lang w:val="ru-RU" w:eastAsia="ru-RU" w:bidi="ru-RU"/>
        </w:rPr>
        <w:t>ООО «Хека», Министерство здравоохранения Республики Коми, ГКУ РК «Центр обеспечения организации и проведения торгов», оператор электронной площадки о формате (веб-видеоконференция) рассмотрения жалобы и проведения внеплановой проверки надлежащим образом извещены.</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представителей оператора электронной площадки не препятствует рассмотрению жалобы и проведению внеплановой проверки.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ООО «Хека» обжаловано действие заказчика - Министерства здравоохранения Республики Коми при определении положений извещения о проведении электронного аукциона, в части:</w:t>
      </w:r>
    </w:p>
    <w:p>
      <w:pPr>
        <w:pStyle w:val="Style2"/>
        <w:keepNext w:val="0"/>
        <w:keepLines w:val="0"/>
        <w:widowControl w:val="0"/>
        <w:numPr>
          <w:ilvl w:val="0"/>
          <w:numId w:val="1"/>
        </w:numPr>
        <w:shd w:val="clear" w:color="auto" w:fill="auto"/>
        <w:tabs>
          <w:tab w:pos="658" w:val="left"/>
        </w:tabs>
        <w:bidi w:val="0"/>
        <w:spacing w:before="0" w:after="0" w:line="240" w:lineRule="auto"/>
        <w:ind w:left="0" w:right="0" w:firstLine="480"/>
        <w:jc w:val="both"/>
      </w:pPr>
      <w:r>
        <w:rPr>
          <w:color w:val="000000"/>
          <w:spacing w:val="0"/>
          <w:w w:val="100"/>
          <w:position w:val="0"/>
          <w:shd w:val="clear" w:color="auto" w:fill="auto"/>
          <w:lang w:val="ru-RU" w:eastAsia="ru-RU" w:bidi="ru-RU"/>
        </w:rPr>
        <w:t>установления требования о предоставлении в составе заявки на участие в закупке информации о наименовании предлагаемого к поставке товара в соответствии с регистрационным удостоверением на медицинское изделие, что, согласно позиции заявителя, является нарушением части 3 статьи 43 Закона о контрактной системе;</w:t>
      </w:r>
    </w:p>
    <w:p>
      <w:pPr>
        <w:pStyle w:val="Style2"/>
        <w:keepNext w:val="0"/>
        <w:keepLines w:val="0"/>
        <w:widowControl w:val="0"/>
        <w:numPr>
          <w:ilvl w:val="0"/>
          <w:numId w:val="1"/>
        </w:numPr>
        <w:shd w:val="clear" w:color="auto" w:fill="auto"/>
        <w:tabs>
          <w:tab w:pos="658"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включение в описание объекта закупки в качестве обоснования необходимости использования требуемых заказчику показателей, требований, указания на «ГОСТ Р 56107-2014. Национальный стандарт Российской Федерации. Изделия медицинские электрические. Столы операционные. Технические требования для государственных закупок» (утв. и введен в действие Приказом Росстандарта от 16.09.2014 № 1082-ст), что, согласно позиции заявителя, не является обоснованием его применения и нарушает пункт 2 части 1 статьи 33 Закона о контрактной системе;</w:t>
      </w:r>
    </w:p>
    <w:p>
      <w:pPr>
        <w:pStyle w:val="Style2"/>
        <w:keepNext w:val="0"/>
        <w:keepLines w:val="0"/>
        <w:widowControl w:val="0"/>
        <w:numPr>
          <w:ilvl w:val="0"/>
          <w:numId w:val="1"/>
        </w:numPr>
        <w:shd w:val="clear" w:color="auto" w:fill="auto"/>
        <w:tabs>
          <w:tab w:pos="658"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использования при описании объекта закупки позиции Каталога товаров, работ, услуг для обеспечения государственных и муниципальных нужд (далее - КТРУ), не соответствующей закупаемому товару.</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Министерством здравоохранения Республики Коми, ПСУ РК «Центр обеспечения организации и проведения торгов» в отзывах на жалобу от 14.03.2023 № 5252/01-21 (вх. от 15.03.2023 № 1239-э), от 14.03.2023 (вх. от 14.03.2023 № 857) заявлены возражения относительно позиции заявителя.</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ООО «Хека» посредством электронной почты 15.03.2023 в 13:58 представлены дополнения к жалобе (вх. от 15.03.2023 № 1256-э), в которых заявитель приводит доводы о намеренном уклонении заказчиком от использования подходящих позиций КТРУ, имеющих в своем составе требуемое заказчику описание объекта закупки (позиции КТРУ: 32.50.30.110-00000128, 32.50.30.110-00000122, 32.50.30.110-00000134, 32.50.30.110-00000140), более соответствующее потребности Заказчика в части кода ОКПД2, содержащее более уточненный код (32.50.30.112 - операционные столы универсальные), в том числе по номенклатуре вида медицинского изделия.</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дополнениях в жалобе заявитель указывает, наряду с прочим, что при закупке стола операционного универсального, электромеханического, с питанием от сети, заказчик включил в описание объекта закупки требование к питанию стола также и от аккумуляторной батареи, что, согласно доводам заявителя, свидетельствует о том, что требование о питании объекта закупки от сети не является для заказчика определяющей характеристикой, в связи с чем заказчику надлежало применить иную позицию КТРУ.</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указанном извещении, заслушав представителей ООО «Хека», Министерства здравоохранения Республики Коми, ГКУ РК «Центр обеспечения организации и проведения торгов», пришла к нижеследующим выводам.</w:t>
      </w:r>
    </w:p>
    <w:p>
      <w:pPr>
        <w:pStyle w:val="Style2"/>
        <w:keepNext w:val="0"/>
        <w:keepLines w:val="0"/>
        <w:widowControl w:val="0"/>
        <w:numPr>
          <w:ilvl w:val="0"/>
          <w:numId w:val="3"/>
        </w:numPr>
        <w:shd w:val="clear" w:color="auto" w:fill="auto"/>
        <w:tabs>
          <w:tab w:pos="730"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Заказчиком осуществления закупки путем проведения электронного аукциона явилось Министерство здравоохранения Республики Коми.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 xml:space="preserve">Уполномоченным учреждением, наделенным в соответствии с постановлением Правительства Республики Коми от 04.02.2022 № 45 «О централизации закупок товаров, </w:t>
      </w:r>
      <w:r>
        <w:rPr>
          <w:color w:val="000000"/>
          <w:spacing w:val="0"/>
          <w:w w:val="100"/>
          <w:position w:val="0"/>
          <w:shd w:val="clear" w:color="auto" w:fill="auto"/>
          <w:lang w:val="ru-RU" w:eastAsia="ru-RU" w:bidi="ru-RU"/>
        </w:rPr>
        <w:t>работ, услуг для нужд Республики Коми» функциями по определению поставщиков (подрядчиков, исполнителей) для заказчиков Республики Коми, в том числе путем проведения электронных аукционов, явилось ГКУ РК «Центр обеспечения организации и проведения торгов».</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Объект закупки - «Поставка стола операционного универсального, электромеханического, с питанием от сети планируемого к приобретению в рамках реализации мероприятий развития центров экономического роста субъектов Российской Федерации, входящих в состав Арктической зоны Российской Федерации в 2023 году».</w:t>
      </w:r>
    </w:p>
    <w:p>
      <w:pPr>
        <w:pStyle w:val="Style2"/>
        <w:keepNext w:val="0"/>
        <w:keepLines w:val="0"/>
        <w:widowControl w:val="0"/>
        <w:shd w:val="clear" w:color="auto" w:fill="auto"/>
        <w:bidi w:val="0"/>
        <w:spacing w:before="0" w:after="0" w:line="252" w:lineRule="auto"/>
        <w:ind w:left="0" w:right="0" w:firstLine="480"/>
        <w:jc w:val="both"/>
      </w:pPr>
      <w:r>
        <w:rPr>
          <w:color w:val="000000"/>
          <w:spacing w:val="0"/>
          <w:w w:val="100"/>
          <w:position w:val="0"/>
          <w:shd w:val="clear" w:color="auto" w:fill="auto"/>
          <w:lang w:val="ru-RU" w:eastAsia="ru-RU" w:bidi="ru-RU"/>
        </w:rPr>
        <w:t>Начальная (максимальная) цена контракта составила 1 588 650,00 руб.</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Извещение о проведении электронного аукциона размещено на официальном сайте Единой информационной системы в сфере закупок (далее - официальный сайт) 22.02.2023.</w:t>
      </w:r>
    </w:p>
    <w:p>
      <w:pPr>
        <w:pStyle w:val="Style2"/>
        <w:keepNext w:val="0"/>
        <w:keepLines w:val="0"/>
        <w:widowControl w:val="0"/>
        <w:numPr>
          <w:ilvl w:val="0"/>
          <w:numId w:val="3"/>
        </w:numPr>
        <w:shd w:val="clear" w:color="auto" w:fill="auto"/>
        <w:tabs>
          <w:tab w:pos="730" w:val="left"/>
        </w:tabs>
        <w:bidi w:val="0"/>
        <w:spacing w:before="0" w:after="0" w:line="252" w:lineRule="auto"/>
        <w:ind w:left="0" w:right="0" w:firstLine="50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пункту 2 части 2 статьи 24 Закона о контрактной системе, в том числе аукцион (открытый аукцион в электронной форме (далее - электронный аукцион).</w:t>
      </w:r>
    </w:p>
    <w:p>
      <w:pPr>
        <w:pStyle w:val="Style2"/>
        <w:keepNext w:val="0"/>
        <w:keepLines w:val="0"/>
        <w:widowControl w:val="0"/>
        <w:numPr>
          <w:ilvl w:val="1"/>
          <w:numId w:val="3"/>
        </w:numPr>
        <w:shd w:val="clear" w:color="auto" w:fill="auto"/>
        <w:tabs>
          <w:tab w:pos="879" w:val="left"/>
        </w:tabs>
        <w:bidi w:val="0"/>
        <w:spacing w:before="0" w:after="0" w:line="252" w:lineRule="auto"/>
        <w:ind w:left="0" w:right="0" w:firstLine="500"/>
        <w:jc w:val="both"/>
      </w:pPr>
      <w:r>
        <w:rPr>
          <w:color w:val="000000"/>
          <w:spacing w:val="0"/>
          <w:w w:val="100"/>
          <w:position w:val="0"/>
          <w:shd w:val="clear" w:color="auto" w:fill="auto"/>
          <w:lang w:val="ru-RU" w:eastAsia="ru-RU" w:bidi="ru-RU"/>
        </w:rPr>
        <w:t>Согласно пунктам 1,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наряду с прочим, электронные 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line="252" w:lineRule="auto"/>
        <w:ind w:left="0" w:right="0" w:firstLine="500"/>
        <w:jc w:val="both"/>
      </w:pPr>
      <w:r>
        <w:rPr>
          <w:b/>
          <w:bCs/>
          <w:color w:val="000000"/>
          <w:spacing w:val="0"/>
          <w:w w:val="100"/>
          <w:position w:val="0"/>
          <w:shd w:val="clear" w:color="auto" w:fill="auto"/>
          <w:lang w:val="ru-RU" w:eastAsia="ru-RU" w:bidi="ru-RU"/>
        </w:rPr>
        <w:t xml:space="preserve">В </w:t>
      </w:r>
      <w:r>
        <w:rPr>
          <w:color w:val="000000"/>
          <w:spacing w:val="0"/>
          <w:w w:val="100"/>
          <w:position w:val="0"/>
          <w:shd w:val="clear" w:color="auto" w:fill="auto"/>
          <w:lang w:val="ru-RU" w:eastAsia="ru-RU" w:bidi="ru-RU"/>
        </w:rPr>
        <w:t>соответствии с подпунктами а), б), в) пункта 2 части 1, части 3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предложение участника закупки в отношении объекта закупки:</w:t>
      </w:r>
    </w:p>
    <w:p>
      <w:pPr>
        <w:pStyle w:val="Style2"/>
        <w:keepNext w:val="0"/>
        <w:keepLines w:val="0"/>
        <w:widowControl w:val="0"/>
        <w:numPr>
          <w:ilvl w:val="0"/>
          <w:numId w:val="5"/>
        </w:numPr>
        <w:shd w:val="clear" w:color="auto" w:fill="auto"/>
        <w:tabs>
          <w:tab w:pos="750" w:val="left"/>
        </w:tabs>
        <w:bidi w:val="0"/>
        <w:spacing w:before="0" w:after="0" w:line="252" w:lineRule="auto"/>
        <w:ind w:left="0" w:right="0" w:firstLine="500"/>
        <w:jc w:val="both"/>
      </w:pPr>
      <w:r>
        <w:rPr>
          <w:color w:val="000000"/>
          <w:spacing w:val="0"/>
          <w:w w:val="100"/>
          <w:position w:val="0"/>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2"/>
        <w:keepNext w:val="0"/>
        <w:keepLines w:val="0"/>
        <w:widowControl w:val="0"/>
        <w:numPr>
          <w:ilvl w:val="0"/>
          <w:numId w:val="5"/>
        </w:numPr>
        <w:shd w:val="clear" w:color="auto" w:fill="auto"/>
        <w:tabs>
          <w:tab w:pos="764" w:val="left"/>
        </w:tabs>
        <w:bidi w:val="0"/>
        <w:spacing w:before="0" w:after="0" w:line="252" w:lineRule="auto"/>
        <w:ind w:left="0" w:right="0" w:firstLine="5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2"/>
        <w:keepNext w:val="0"/>
        <w:keepLines w:val="0"/>
        <w:widowControl w:val="0"/>
        <w:numPr>
          <w:ilvl w:val="0"/>
          <w:numId w:val="5"/>
        </w:numPr>
        <w:shd w:val="clear" w:color="auto" w:fill="auto"/>
        <w:tabs>
          <w:tab w:pos="750" w:val="left"/>
        </w:tabs>
        <w:bidi w:val="0"/>
        <w:spacing w:before="0" w:after="0" w:line="252" w:lineRule="auto"/>
        <w:ind w:left="0" w:right="0" w:firstLine="5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В пункте 1 части 1, части 2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Описание объекта закупки размещено в составе извещения о закупке в виде отдельного электронного документа и содержит, наряду с прочим, следующий показатель и его значение:</w:t>
      </w:r>
    </w:p>
    <w:tbl>
      <w:tblPr>
        <w:tblOverlap w:val="never"/>
        <w:jc w:val="center"/>
        <w:tblLayout w:type="fixed"/>
      </w:tblPr>
      <w:tblGrid>
        <w:gridCol w:w="403"/>
        <w:gridCol w:w="2078"/>
        <w:gridCol w:w="4262"/>
      </w:tblGrid>
      <w:tr>
        <w:trPr>
          <w:trHeight w:val="427"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 п/п</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Наименование показателя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Требуемое значение показателя или наличие функции (функционала)</w:t>
            </w:r>
          </w:p>
        </w:tc>
      </w:tr>
      <w:tr>
        <w:trPr>
          <w:trHeight w:val="422"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Наименование товара**</w:t>
            </w:r>
          </w:p>
        </w:tc>
        <w:tc>
          <w:tcPr>
            <w:tcBorders>
              <w:top w:val="single" w:sz="4"/>
              <w:left w:val="single" w:sz="4"/>
              <w:bottom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Стол операционный универсальный, электромеханический, с питанием от сети</w:t>
            </w:r>
          </w:p>
        </w:tc>
      </w:tr>
    </w:tbl>
    <w:p>
      <w:pPr>
        <w:widowControl w:val="0"/>
        <w:spacing w:after="199" w:line="1" w:lineRule="exact"/>
      </w:pP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и инструкция по ее заполнению размещены в составе извещения о закупке в виде отдельного электронного документа (далее - Требования к содержанию, составу заявки на участие в закупке).</w:t>
      </w:r>
    </w:p>
    <w:p>
      <w:pPr>
        <w:pStyle w:val="Style15"/>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 xml:space="preserve">В пунктах 6-8 Требований к содержанию, составу заявки на участие в закупке установлено, что заявка на участие в закупке должна содержать, в том числе, </w:t>
      </w:r>
      <w:r>
        <w:rPr>
          <w:color w:val="000000"/>
          <w:spacing w:val="0"/>
          <w:w w:val="100"/>
          <w:position w:val="0"/>
          <w:u w:val="single"/>
          <w:shd w:val="clear" w:color="auto" w:fill="auto"/>
          <w:lang w:val="ru-RU" w:eastAsia="ru-RU" w:bidi="ru-RU"/>
        </w:rPr>
        <w:t>информацию и документы:</w:t>
      </w:r>
    </w:p>
    <w:tbl>
      <w:tblPr>
        <w:tblOverlap w:val="never"/>
        <w:jc w:val="center"/>
        <w:tblLayout w:type="fixed"/>
      </w:tblPr>
      <w:tblGrid>
        <w:gridCol w:w="389"/>
        <w:gridCol w:w="3504"/>
        <w:gridCol w:w="2870"/>
      </w:tblGrid>
      <w:tr>
        <w:trPr>
          <w:trHeight w:val="619"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 п/п</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Положения Закона о контрактной системе</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Требования к содержанию, составу заявки на участие в электронном аукционе</w:t>
            </w:r>
          </w:p>
        </w:tc>
      </w:tr>
      <w:tr>
        <w:trPr>
          <w:trHeight w:val="2256" w:hRule="exact"/>
        </w:trPr>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w:t>
            </w:r>
          </w:p>
        </w:tc>
        <w:tc>
          <w:tcPr>
            <w:tcBorders>
              <w:top w:val="single" w:sz="4"/>
              <w:left w:val="single" w:sz="4"/>
              <w:bottom w:val="single" w:sz="4"/>
            </w:tcBorders>
            <w:shd w:val="clear" w:color="auto" w:fill="auto"/>
            <w:vAlign w:val="bottom"/>
          </w:tcPr>
          <w:p>
            <w:pPr>
              <w:pStyle w:val="Style17"/>
              <w:keepNext w:val="0"/>
              <w:keepLines w:val="0"/>
              <w:widowControl w:val="0"/>
              <w:shd w:val="clear" w:color="auto" w:fill="auto"/>
              <w:tabs>
                <w:tab w:pos="2222" w:val="left"/>
              </w:tabs>
              <w:bidi w:val="0"/>
              <w:spacing w:before="0" w:after="0" w:line="252" w:lineRule="auto"/>
              <w:ind w:left="0" w:right="0" w:firstLine="0"/>
              <w:jc w:val="both"/>
            </w:pPr>
            <w:r>
              <w:rPr>
                <w:i/>
                <w:iCs/>
                <w:color w:val="000000"/>
                <w:spacing w:val="0"/>
                <w:w w:val="100"/>
                <w:position w:val="0"/>
                <w:shd w:val="clear" w:color="auto" w:fill="auto"/>
                <w:lang w:val="ru-RU" w:eastAsia="ru-RU" w:bidi="ru-RU"/>
              </w:rPr>
              <w:t>Характеристики</w:t>
              <w:tab/>
              <w:t>предлагаемого</w:t>
            </w:r>
          </w:p>
          <w:p>
            <w:pPr>
              <w:pStyle w:val="Style17"/>
              <w:keepNext w:val="0"/>
              <w:keepLines w:val="0"/>
              <w:widowControl w:val="0"/>
              <w:shd w:val="clear" w:color="auto" w:fill="auto"/>
              <w:tabs>
                <w:tab w:pos="1541" w:val="left"/>
                <w:tab w:pos="2779" w:val="left"/>
              </w:tabs>
              <w:bidi w:val="0"/>
              <w:spacing w:before="0" w:after="0" w:line="252" w:lineRule="auto"/>
              <w:ind w:left="0" w:right="0" w:firstLine="0"/>
              <w:jc w:val="both"/>
            </w:pPr>
            <w:r>
              <w:rPr>
                <w:i/>
                <w:iCs/>
                <w:color w:val="000000"/>
                <w:spacing w:val="0"/>
                <w:w w:val="100"/>
                <w:position w:val="0"/>
                <w:shd w:val="clear" w:color="auto" w:fill="auto"/>
                <w:lang w:val="ru-RU" w:eastAsia="ru-RU" w:bidi="ru-RU"/>
              </w:rPr>
              <w:t>участником</w:t>
              <w:tab/>
              <w:t>закупки</w:t>
              <w:tab/>
              <w:t>товара,</w:t>
            </w:r>
          </w:p>
          <w:p>
            <w:pPr>
              <w:pStyle w:val="Style17"/>
              <w:keepNext w:val="0"/>
              <w:keepLines w:val="0"/>
              <w:widowControl w:val="0"/>
              <w:shd w:val="clear" w:color="auto" w:fill="auto"/>
              <w:tabs>
                <w:tab w:pos="2386" w:val="left"/>
              </w:tabs>
              <w:bidi w:val="0"/>
              <w:spacing w:before="0" w:after="0" w:line="252" w:lineRule="auto"/>
              <w:ind w:left="0" w:right="0" w:firstLine="0"/>
              <w:jc w:val="both"/>
            </w:pPr>
            <w:r>
              <w:rPr>
                <w:color w:val="000000"/>
                <w:spacing w:val="0"/>
                <w:w w:val="100"/>
                <w:position w:val="0"/>
                <w:shd w:val="clear" w:color="auto" w:fill="auto"/>
                <w:lang w:val="ru-RU" w:eastAsia="ru-RU" w:bidi="ru-RU"/>
              </w:rPr>
              <w:t>соответствующие</w:t>
              <w:tab/>
              <w:t>показателям,</w:t>
            </w:r>
          </w:p>
          <w:p>
            <w:pPr>
              <w:pStyle w:val="Style17"/>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установленным в описании объекта закупки в соответствии с частью 2 статьи 33 Федерального закона № 44-ФЗ, товарный знак (при наличии у товара товарного знака).</w:t>
            </w:r>
          </w:p>
          <w:p>
            <w:pPr>
              <w:pStyle w:val="Style17"/>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Информация, предусмотренная данным пунктом, может не включаться в заявку на участие в электронном аукционе в случае</w:t>
            </w:r>
          </w:p>
        </w:tc>
        <w:tc>
          <w:tcPr>
            <w:tcBorders>
              <w:top w:val="single" w:sz="4"/>
              <w:left w:val="single" w:sz="4"/>
              <w:bottom w:val="single" w:sz="4"/>
              <w:right w:val="single" w:sz="4"/>
            </w:tcBorders>
            <w:shd w:val="clear" w:color="auto" w:fill="auto"/>
            <w:vAlign w:val="center"/>
          </w:tcPr>
          <w:p>
            <w:pPr>
              <w:pStyle w:val="Style17"/>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Требуется представление в соответствии с описанием объекта закупки и инструкцией по заполнению заявки на участие в закупке</w:t>
            </w:r>
          </w:p>
        </w:tc>
      </w:tr>
    </w:tbl>
    <w:p>
      <w:pPr>
        <w:spacing w:lineRule="exact" w:line="1"/>
        <w:rPr>
          <w:sz w:val="2"/>
          <w:szCs w:val="2"/>
        </w:rPr>
      </w:pPr>
      <w:r>
        <w:br w:type="page"/>
      </w:r>
    </w:p>
    <w:tbl>
      <w:tblPr>
        <w:tblOverlap w:val="never"/>
        <w:jc w:val="center"/>
        <w:tblLayout w:type="fixed"/>
      </w:tblPr>
      <w:tblGrid>
        <w:gridCol w:w="403"/>
        <w:gridCol w:w="3542"/>
        <w:gridCol w:w="2880"/>
      </w:tblGrid>
      <w:tr>
        <w:trPr>
          <w:trHeight w:val="14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tc>
        <w:tc>
          <w:tcPr>
            <w:tcBorders>
              <w:top w:val="single" w:sz="4"/>
              <w:left w:val="single" w:sz="4"/>
              <w:right w:val="single" w:sz="4"/>
            </w:tcBorders>
            <w:shd w:val="clear" w:color="auto" w:fill="auto"/>
            <w:vAlign w:val="top"/>
          </w:tcPr>
          <w:p>
            <w:pPr>
              <w:widowControl w:val="0"/>
              <w:rPr>
                <w:sz w:val="10"/>
                <w:szCs w:val="10"/>
              </w:rPr>
            </w:pPr>
          </w:p>
        </w:tc>
      </w:tr>
      <w:tr>
        <w:trPr>
          <w:trHeight w:val="816"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Наименование страны происхождения товара</w:t>
            </w:r>
            <w:r>
              <w:rPr>
                <w:color w:val="000000"/>
                <w:spacing w:val="0"/>
                <w:w w:val="100"/>
                <w:position w:val="0"/>
                <w:shd w:val="clear" w:color="auto" w:fill="auto"/>
                <w:lang w:val="ru-RU" w:eastAsia="ru-RU" w:bidi="ru-RU"/>
              </w:rPr>
              <w:t xml:space="preserve"> в соответствии с общероссийским классификатором, используемым для идентификации стран мира.</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Требуется указание</w:t>
            </w:r>
          </w:p>
        </w:tc>
      </w:tr>
      <w:tr>
        <w:trPr>
          <w:trHeight w:val="3053" w:hRule="exact"/>
        </w:trPr>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8.</w:t>
            </w:r>
          </w:p>
        </w:tc>
        <w:tc>
          <w:tcPr>
            <w:tcBorders>
              <w:top w:val="single" w:sz="4"/>
              <w:left w:val="single" w:sz="4"/>
              <w:bottom w:val="single" w:sz="4"/>
            </w:tcBorders>
            <w:shd w:val="clear" w:color="auto" w:fill="auto"/>
            <w:vAlign w:val="bottom"/>
          </w:tcPr>
          <w:p>
            <w:pPr>
              <w:pStyle w:val="Style17"/>
              <w:keepNext w:val="0"/>
              <w:keepLines w:val="0"/>
              <w:widowControl w:val="0"/>
              <w:shd w:val="clear" w:color="auto" w:fill="auto"/>
              <w:tabs>
                <w:tab w:pos="3408" w:val="right"/>
              </w:tabs>
              <w:bidi w:val="0"/>
              <w:spacing w:before="0" w:after="0" w:line="240" w:lineRule="auto"/>
              <w:ind w:left="0" w:right="0" w:firstLine="0"/>
              <w:jc w:val="both"/>
            </w:pPr>
            <w:r>
              <w:rPr>
                <w:i/>
                <w:iCs/>
                <w:color w:val="000000"/>
                <w:spacing w:val="0"/>
                <w:w w:val="100"/>
                <w:position w:val="0"/>
                <w:shd w:val="clear" w:color="auto" w:fill="auto"/>
                <w:lang w:val="ru-RU" w:eastAsia="ru-RU" w:bidi="ru-RU"/>
              </w:rPr>
              <w:t>Документы,</w:t>
              <w:tab/>
              <w:t>подтверждающие</w:t>
            </w:r>
          </w:p>
          <w:p>
            <w:pPr>
              <w:pStyle w:val="Style17"/>
              <w:keepNext w:val="0"/>
              <w:keepLines w:val="0"/>
              <w:widowControl w:val="0"/>
              <w:shd w:val="clear" w:color="auto" w:fill="auto"/>
              <w:tabs>
                <w:tab w:pos="1560" w:val="left"/>
                <w:tab w:pos="3394" w:val="right"/>
              </w:tabs>
              <w:bidi w:val="0"/>
              <w:spacing w:before="0" w:after="0" w:line="240" w:lineRule="auto"/>
              <w:ind w:left="0" w:right="0" w:firstLine="0"/>
              <w:jc w:val="both"/>
            </w:pPr>
            <w:r>
              <w:rPr>
                <w:i/>
                <w:iCs/>
                <w:color w:val="000000"/>
                <w:spacing w:val="0"/>
                <w:w w:val="100"/>
                <w:position w:val="0"/>
                <w:shd w:val="clear" w:color="auto" w:fill="auto"/>
                <w:lang w:val="ru-RU" w:eastAsia="ru-RU" w:bidi="ru-RU"/>
              </w:rPr>
              <w:t>соответствие товара, работы или услуги требованиям,</w:t>
              <w:tab/>
              <w:t>установленным</w:t>
              <w:tab/>
              <w:t>в</w:t>
            </w:r>
          </w:p>
          <w:p>
            <w:pPr>
              <w:pStyle w:val="Style17"/>
              <w:keepNext w:val="0"/>
              <w:keepLines w:val="0"/>
              <w:widowControl w:val="0"/>
              <w:shd w:val="clear" w:color="auto" w:fill="auto"/>
              <w:tabs>
                <w:tab w:pos="1440" w:val="left"/>
                <w:tab w:pos="3389" w:val="right"/>
              </w:tabs>
              <w:bidi w:val="0"/>
              <w:spacing w:before="0" w:after="0" w:line="240" w:lineRule="auto"/>
              <w:ind w:left="0" w:right="0" w:firstLine="0"/>
              <w:jc w:val="both"/>
            </w:pPr>
            <w:r>
              <w:rPr>
                <w:i/>
                <w:iCs/>
                <w:color w:val="000000"/>
                <w:spacing w:val="0"/>
                <w:w w:val="100"/>
                <w:position w:val="0"/>
                <w:shd w:val="clear" w:color="auto" w:fill="auto"/>
                <w:lang w:val="ru-RU" w:eastAsia="ru-RU" w:bidi="ru-RU"/>
              </w:rPr>
              <w:t>соответствии с законодательством Российской Федерации</w:t>
            </w:r>
            <w:r>
              <w:rPr>
                <w:color w:val="000000"/>
                <w:spacing w:val="0"/>
                <w:w w:val="100"/>
                <w:position w:val="0"/>
                <w:shd w:val="clear" w:color="auto" w:fill="auto"/>
                <w:lang w:val="ru-RU" w:eastAsia="ru-RU" w:bidi="ru-RU"/>
              </w:rPr>
              <w:t xml:space="preserve"> (в случае, если в соответствии</w:t>
              <w:tab/>
              <w:t>с</w:t>
              <w:tab/>
              <w:t>законодательством</w:t>
            </w:r>
          </w:p>
          <w:p>
            <w:pPr>
              <w:pStyle w:val="Style17"/>
              <w:keepNext w:val="0"/>
              <w:keepLines w:val="0"/>
              <w:widowControl w:val="0"/>
              <w:shd w:val="clear" w:color="auto" w:fill="auto"/>
              <w:tabs>
                <w:tab w:pos="1723" w:val="left"/>
                <w:tab w:pos="3394" w:val="right"/>
              </w:tabs>
              <w:bidi w:val="0"/>
              <w:spacing w:before="0" w:after="0" w:line="240" w:lineRule="auto"/>
              <w:ind w:left="0" w:right="0" w:firstLine="0"/>
              <w:jc w:val="both"/>
            </w:pPr>
            <w:r>
              <w:rPr>
                <w:color w:val="000000"/>
                <w:spacing w:val="0"/>
                <w:w w:val="100"/>
                <w:position w:val="0"/>
                <w:shd w:val="clear" w:color="auto" w:fill="auto"/>
                <w:lang w:val="ru-RU" w:eastAsia="ru-RU" w:bidi="ru-RU"/>
              </w:rPr>
              <w:t>Российской Федерации установлены требования к товару, работе или услуге и представление указанных документов предусмотрено</w:t>
              <w:tab/>
              <w:t>извещением</w:t>
              <w:tab/>
              <w:t>об</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осуществлении закупки).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tc>
        <w:tc>
          <w:tcPr>
            <w:tcBorders>
              <w:top w:val="single" w:sz="4"/>
              <w:left w:val="single" w:sz="4"/>
              <w:bottom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Требуется представление копии действующего регистрационного удостоверения на медицинское изделие, требуемое в рамках данной закупки, либо информации о реквизитах такого регистрационного удостоверения с указанием номера и даты его выдачи</w:t>
            </w:r>
          </w:p>
        </w:tc>
      </w:tr>
    </w:tbl>
    <w:p>
      <w:pPr>
        <w:widowControl w:val="0"/>
        <w:spacing w:after="199" w:line="1" w:lineRule="exact"/>
      </w:pP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Инструкция по заполнению заявки на участие в электронном аукционе, содержащаяся как в электронном документе «Описание объекта закупки», так и в Требованиях к содержанию, составу заявки на участие в закупке, содержит, наряду с прочим, указание: «Заявка на участие в закупке должна содержать предложение участника закупки в отношении объекта закупки: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-характеристики предлагаемого участником закупки товара, соответствующие показателям, установленным в описании объекта закупки: наименование товара, наименование показателя, требуемое значение показателя или наличие функции (функционала), соответствующие значениям, установленным описанием объекта закупки, и указание на товарный знак (при наличии у товара товарного знака);</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-по помеченному специальным знаком «**» показателю участники закупки указывают наименование предлагаемого товара в соответствии с регистрационным удостоверением».</w:t>
      </w:r>
    </w:p>
    <w:p>
      <w:pPr>
        <w:pStyle w:val="Style2"/>
        <w:keepNext w:val="0"/>
        <w:keepLines w:val="0"/>
        <w:widowControl w:val="0"/>
        <w:shd w:val="clear" w:color="auto" w:fill="auto"/>
        <w:bidi w:val="0"/>
        <w:spacing w:before="0" w:after="100" w:line="240" w:lineRule="auto"/>
        <w:ind w:left="0" w:right="0" w:firstLine="500"/>
        <w:jc w:val="both"/>
        <w:sectPr>
          <w:footnotePr>
            <w:pos w:val="pageBottom"/>
            <w:numFmt w:val="decimal"/>
            <w:numRestart w:val="continuous"/>
          </w:footnotePr>
          <w:pgSz w:w="8400" w:h="11900"/>
          <w:pgMar w:top="698" w:right="766" w:bottom="987" w:left="788" w:header="0" w:footer="3" w:gutter="0"/>
          <w:cols w:space="720"/>
          <w:noEndnote/>
          <w:rtlGutter w:val="0"/>
          <w:docGrid w:linePitch="360"/>
        </w:sectPr>
      </w:pPr>
      <w:r>
        <w:rPr>
          <w:color w:val="000000"/>
          <w:spacing w:val="0"/>
          <w:w w:val="100"/>
          <w:position w:val="0"/>
          <w:shd w:val="clear" w:color="auto" w:fill="auto"/>
          <w:lang w:val="ru-RU" w:eastAsia="ru-RU" w:bidi="ru-RU"/>
        </w:rPr>
        <w:t>Согласно частям 1, 2 статьи 38 Федерального закона от 21.11.2011 № 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w:t>
      </w:r>
    </w:p>
    <w:p>
      <w:pPr>
        <w:pStyle w:val="Style2"/>
        <w:keepNext w:val="0"/>
        <w:keepLines w:val="0"/>
        <w:widowControl w:val="0"/>
        <w:shd w:val="clear" w:color="auto" w:fill="auto"/>
        <w:bidi w:val="0"/>
        <w:spacing w:before="0" w:after="0" w:line="240" w:lineRule="auto"/>
        <w:ind w:left="0" w:right="0" w:firstLine="3300"/>
        <w:jc w:val="left"/>
      </w:pPr>
      <w:r>
        <w:rPr>
          <w:color w:val="000000"/>
          <w:spacing w:val="0"/>
          <w:w w:val="100"/>
          <w:position w:val="0"/>
          <w:shd w:val="clear" w:color="auto" w:fill="auto"/>
          <w:lang w:val="ru-RU" w:eastAsia="ru-RU" w:bidi="ru-RU"/>
        </w:rPr>
        <w:t>-7-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Номенклатурная классификация медицинских изделий по видам утверждена Приказом Минздрава России от 06.06.2012 № 4н «Об утверждении номенклатурной классификации медицинских изделий» (вместе с «Номенклатурной классификацией медицинских изделий по видам», «Номенклатурной классификацией медицинских изделий по классам в зависимости от потенциального риска их применения») и включает в себя медицинское изделие «Операционные столы универсальные» (п. 2.23).</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Таким образом, в рамках закупки к поставке требуется медицинское изделие.</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Согласно частям 3, 4 статьи 38 Федерального закона от 21.11.2011 № 323-ФЗ «Об основах охраны здоровья граждан в Российской Федерации» </w:t>
      </w:r>
      <w:r>
        <w:rPr>
          <w:i/>
          <w:iCs/>
          <w:color w:val="000000"/>
          <w:spacing w:val="0"/>
          <w:w w:val="100"/>
          <w:position w:val="0"/>
          <w:shd w:val="clear" w:color="auto" w:fill="auto"/>
          <w:lang w:val="ru-RU" w:eastAsia="ru-RU" w:bidi="ru-RU"/>
        </w:rPr>
        <w:t xml:space="preserve">обращение медицинских </w:t>
      </w:r>
      <w:r>
        <w:rPr>
          <w:color w:val="000000"/>
          <w:spacing w:val="0"/>
          <w:w w:val="100"/>
          <w:position w:val="0"/>
          <w:shd w:val="clear" w:color="auto" w:fill="auto"/>
          <w:lang w:val="ru-RU" w:eastAsia="ru-RU" w:bidi="ru-RU"/>
        </w:rPr>
        <w:t>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&gt;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На территории Российской Федерации </w:t>
      </w:r>
      <w:r>
        <w:rPr>
          <w:i/>
          <w:iCs/>
          <w:color w:val="000000"/>
          <w:spacing w:val="0"/>
          <w:w w:val="100"/>
          <w:position w:val="0"/>
          <w:shd w:val="clear" w:color="auto" w:fill="auto"/>
          <w:lang w:val="ru-RU" w:eastAsia="ru-RU" w:bidi="ru-RU"/>
        </w:rPr>
        <w:t>разрешается обращение медицинских изделий, прошедших государственную регистрацию</w:t>
      </w:r>
      <w:r>
        <w:rPr>
          <w:color w:val="000000"/>
          <w:spacing w:val="0"/>
          <w:w w:val="100"/>
          <w:position w:val="0"/>
          <w:shd w:val="clear" w:color="auto" w:fill="auto"/>
          <w:lang w:val="ru-RU" w:eastAsia="ru-RU" w:bidi="ru-RU"/>
        </w:rPr>
        <w:t xml:space="preserve">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Правила государственной регистрации медицинских изделий утверждены Постановлением Правительства РФ от 27.12.2012 № 1416 (далее - Правила).</w:t>
      </w:r>
    </w:p>
    <w:p>
      <w:pPr>
        <w:pStyle w:val="Style2"/>
        <w:keepNext w:val="0"/>
        <w:keepLines w:val="0"/>
        <w:widowControl w:val="0"/>
        <w:shd w:val="clear" w:color="auto" w:fill="auto"/>
        <w:bidi w:val="0"/>
        <w:spacing w:before="0" w:after="0" w:line="240" w:lineRule="auto"/>
        <w:ind w:left="0" w:right="0" w:firstLine="480"/>
        <w:jc w:val="both"/>
        <w:sectPr>
          <w:headerReference w:type="default" r:id="rId9"/>
          <w:footnotePr>
            <w:pos w:val="pageBottom"/>
            <w:numFmt w:val="decimal"/>
            <w:numRestart w:val="continuous"/>
          </w:footnotePr>
          <w:pgSz w:w="8400" w:h="11900"/>
          <w:pgMar w:top="156" w:right="399" w:bottom="156" w:left="1041" w:header="0" w:footer="3" w:gutter="0"/>
          <w:cols w:space="720"/>
          <w:noEndnote/>
          <w:rtlGutter w:val="0"/>
          <w:docGrid w:linePitch="360"/>
        </w:sectPr>
      </w:pPr>
      <w:r>
        <w:rPr>
          <w:color w:val="000000"/>
          <w:spacing w:val="0"/>
          <w:w w:val="100"/>
          <w:position w:val="0"/>
          <w:shd w:val="clear" w:color="auto" w:fill="auto"/>
          <w:lang w:val="ru-RU" w:eastAsia="ru-RU" w:bidi="ru-RU"/>
        </w:rPr>
        <w:t>По пунктам 2, 6, подпункту а) пункта 56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регистрационном удостоверении указываются сведения, в том числе, наименование медицинского изделия (с указанием принадлежностей, необходимых для применения медицинского изделия по назначению).</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Таким образом, действующим законодательством предусмотрено, что обязательным документом, подтверждающим возможность обращения медицинских изделий на территории Российской Федерации, является регистрационное удостоверение.</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В пункте 4 Правил приведено понятие «качество медицинского изделия» - совокупность свойств и характеристик медицинского изделия, влияющих на его способность действовать по назначению </w:t>
      </w:r>
      <w:r>
        <w:rPr>
          <w:i/>
          <w:iCs/>
          <w:color w:val="000000"/>
          <w:spacing w:val="0"/>
          <w:w w:val="100"/>
          <w:position w:val="0"/>
          <w:shd w:val="clear" w:color="auto" w:fill="auto"/>
          <w:lang w:val="ru-RU" w:eastAsia="ru-RU" w:bidi="ru-RU"/>
        </w:rPr>
        <w:t>при условии соответствия</w:t>
      </w:r>
      <w:r>
        <w:rPr>
          <w:color w:val="000000"/>
          <w:spacing w:val="0"/>
          <w:w w:val="100"/>
          <w:position w:val="0"/>
          <w:shd w:val="clear" w:color="auto" w:fill="auto"/>
          <w:lang w:val="ru-RU" w:eastAsia="ru-RU" w:bidi="ru-RU"/>
        </w:rPr>
        <w:t xml:space="preserve"> требованиям нормативной документации, технической и эксплуатационной документации производителя (изготовителя).</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Требования к содержанию технической и эксплуатационной документации производителя (изготовителя) медицинского изделия утверждены Приказом Минздрава России от 19.01.2017 № 11н, в подпункте 1 пункта 4 указанных Требований определено, что Техническая документация производителя (изготовителя) на медицинское изделие,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в составе регистрационного досье на медицинское изделие, за исключением программного обеспечения, являющегося медицинским изделием, в том числе программного обеспечения с применением технологий искусственного интеллекта, должна содержать, наряду с прочим, наименование медицинского изделия, иную информацию, позволяющую идентифицировать медицинское изделие, например, номер модели, варианты модификаций (исполнений) медицинского изделия.</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части 13 статьи 38 Федерального закона от 21.11.2011 № 323-ФЗ «Об основах охраны здоровья граждан в Российской Федерации» недоброкачественное медицинское изделие - медицинское изделие, которое не соответствует требованиям безопасности и эффективности медицинских изделий, требованиям к их маркировке, нормативной, технической и эксплуатационной документации и которое не может быть безопасно использовано по назначению, установленному производителем (из готовителем).</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 учетом вышеизложенного, в том числе, учитывая особенность закупок медицинских изделий, наименование предлагаемого к поставке товара в соответствии с регистрационным удостоверением на медицинское изделие, в указанном случае возможно отнести к качественной характеристике объекта закупки, указание которой в составе заявки обусловлено потребностями заказчика и недопустимостью двусмысленного толкования предлагаемого к поставке в составе заявки на участие в закупке товара.</w:t>
      </w:r>
    </w:p>
    <w:p>
      <w:pPr>
        <w:pStyle w:val="Style2"/>
        <w:keepNext w:val="0"/>
        <w:keepLines w:val="0"/>
        <w:widowControl w:val="0"/>
        <w:shd w:val="clear" w:color="auto" w:fill="auto"/>
        <w:bidi w:val="0"/>
        <w:spacing w:before="0" w:after="0" w:line="240" w:lineRule="auto"/>
        <w:ind w:left="0" w:right="0" w:firstLine="500"/>
        <w:jc w:val="both"/>
        <w:sectPr>
          <w:headerReference w:type="default" r:id="rId10"/>
          <w:footnotePr>
            <w:pos w:val="pageBottom"/>
            <w:numFmt w:val="decimal"/>
            <w:numRestart w:val="continuous"/>
          </w:footnotePr>
          <w:pgSz w:w="8400" w:h="11900"/>
          <w:pgMar w:top="386" w:right="984" w:bottom="386" w:left="601" w:header="0" w:footer="3" w:gutter="0"/>
          <w:cols w:space="720"/>
          <w:noEndnote/>
          <w:rtlGutter w:val="0"/>
          <w:docGrid w:linePitch="360"/>
        </w:sectPr>
      </w:pPr>
      <w:r>
        <w:rPr>
          <w:color w:val="000000"/>
          <w:spacing w:val="0"/>
          <w:w w:val="100"/>
          <w:position w:val="0"/>
          <w:shd w:val="clear" w:color="auto" w:fill="auto"/>
          <w:lang w:val="ru-RU" w:eastAsia="ru-RU" w:bidi="ru-RU"/>
        </w:rPr>
        <w:t>Действие заказчика - Министерства здравоохранения Республики Коми в части установления требования о предоставлении в составе заявки на участие в закупке информации о наименовании предлагаемого к поставке товара в соответствии с регистрационным удостоверением на медицинское изделие, не противоречит части 3 статьи 43 Закона о контрактной системе.</w:t>
      </w:r>
    </w:p>
    <w:p>
      <w:pPr>
        <w:pStyle w:val="Style2"/>
        <w:keepNext w:val="0"/>
        <w:keepLines w:val="0"/>
        <w:widowControl w:val="0"/>
        <w:numPr>
          <w:ilvl w:val="1"/>
          <w:numId w:val="3"/>
        </w:numPr>
        <w:shd w:val="clear" w:color="auto" w:fill="auto"/>
        <w:tabs>
          <w:tab w:pos="860" w:val="left"/>
        </w:tabs>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пункту 14 части 3 статьи 4 Закона о контрактной системе Единая информационная система содержит, в том числе, Каталог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соответствии с частями 5, 6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По пункту 2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 145,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Согласно подпунктам а), б), г) пункта 10, пункту 12, подпункту а) пункта 13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код позиции каталога, формируемый в соответствии с пунктом 12 настоящих Правил;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(или) место происхождения товара); информация, содержащая описание товара, работы, услуги, если такое описание сформировано в соответствии с пунктом 13 настоящих Правил.</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описание товара, работы, услуги в соответствии с требованиями статьи 33 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следующая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Согласно подпункту б) пункта 2, подпунктам а), в) пункта 4, пункту 5, пункту 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каталог используется заказчиками, в том числе, в целях описания </w:t>
      </w:r>
      <w:r>
        <w:rPr>
          <w:color w:val="000000"/>
          <w:spacing w:val="0"/>
          <w:w w:val="100"/>
          <w:position w:val="0"/>
          <w:shd w:val="clear" w:color="auto" w:fill="auto"/>
          <w:lang w:val="ru-RU" w:eastAsia="ru-RU" w:bidi="ru-RU"/>
        </w:rPr>
        <w:t>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 145, с указанной в ней даты начала обязательного применения. При этом заказчик обязан при осуществлении закупки использовать инфюрмацию, включенную в соответствующую позицию, в том числе указывать согласно такой позиции информацию, в том числе наименование товара, работы, услуги, описание товара, работы, услуги </w:t>
      </w:r>
      <w:r>
        <w:rPr>
          <w:i/>
          <w:iCs/>
          <w:color w:val="000000"/>
          <w:spacing w:val="0"/>
          <w:w w:val="100"/>
          <w:position w:val="0"/>
          <w:shd w:val="clear" w:color="auto" w:fill="auto"/>
          <w:lang w:val="ru-RU" w:eastAsia="ru-RU" w:bidi="ru-RU"/>
        </w:rPr>
        <w:t>(при наличии такого описания в позиции).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 указанных в настоящем пункте.</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пункту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электронный документ: описание объекта закупки в соответствии со статьей 33 настоящего Федерального закона.</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пунктах 1, 2 части 1, части 2 статьи 33 Закона о контрактной системе установлено: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w:t>
      </w:r>
      <w:r>
        <w:rPr>
          <w:color w:val="000000"/>
          <w:spacing w:val="0"/>
          <w:w w:val="100"/>
          <w:position w:val="0"/>
          <w:shd w:val="clear" w:color="auto" w:fill="auto"/>
          <w:lang w:val="ru-RU" w:eastAsia="ru-RU" w:bidi="ru-RU"/>
        </w:rPr>
        <w:t>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Объект закупки - «Поставка стола операционного универсального, электромеханического, с питанием от сети планируемого к приобретению в рамках реализации мероприятий развития центров экономического роста субъектов Российской Федерации, входящих в состав Арктической зоны Российской Федерации в 2023 году».</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извещению о закупке закупаемый товар соответствует позиции КТРУ 32.50.30.110-00000022 «Стол операционный универсальный, электромеханический, с питанием от сети».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справочной информации по коду позиции КТРУ 32.50.30.110-00000022:</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-код товара - стола операционного универсального, электромеханического, с питанием от сети по Общероссийскому классификатору продукции по видам экономической деятельности (ОКПД2) - 32.50.30.110 «Мебель медицинская, включая хирургическую, стоматологическую или ветеринарную, и ее части»;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-номенклатурная классификация медицинских изделий по видам - 162410, стол операционный универсальный, электромеханический, с питанием от сети, описание по классификатору: «Передвижной стол с двигателем и питанием от сети (переменного тока), который регулируется во время хирургических вмешательств разного типа. Поверхность стола состоит из нескольких шарнирных секций, которые можно поднимать или опускать для создания различных анатомических положений (например, вся поверхность стола может быть отрегулирована и установлена в положение цельной наклонной поверхности), таким образом выполняются многие клинические</w:t>
        <w:br w:type="page"/>
      </w:r>
      <w:r>
        <w:rPr>
          <w:color w:val="000000"/>
          <w:spacing w:val="0"/>
          <w:w w:val="100"/>
          <w:position w:val="0"/>
          <w:shd w:val="clear" w:color="auto" w:fill="auto"/>
          <w:lang w:val="ru-RU" w:eastAsia="ru-RU" w:bidi="ru-RU"/>
        </w:rPr>
        <w:t>требования».</w:t>
      </w:r>
    </w:p>
    <w:p>
      <w:pPr>
        <w:pStyle w:val="Style2"/>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u-RU" w:eastAsia="ru-RU" w:bidi="ru-RU"/>
        </w:rPr>
        <w:t>Описание товара по коду позиции КТРУ 32.50.30.110-00000022 отсутствует.</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Описание объекта закупки является составной частью извещения о закупке и размещено в его составе в форме электронного документа.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Описание объекта закупки содержит следующие требования в отношении</w:t>
      </w:r>
    </w:p>
    <w:p>
      <w:pPr>
        <w:pStyle w:val="Style15"/>
        <w:keepNext w:val="0"/>
        <w:keepLines w:val="0"/>
        <w:widowControl w:val="0"/>
        <w:shd w:val="clear" w:color="auto" w:fill="auto"/>
        <w:bidi w:val="0"/>
        <w:spacing w:before="0" w:after="0" w:line="240" w:lineRule="auto"/>
        <w:ind w:left="48" w:right="0" w:firstLine="0"/>
        <w:jc w:val="left"/>
      </w:pPr>
      <w:r>
        <w:rPr>
          <w:color w:val="000000"/>
          <w:spacing w:val="0"/>
          <w:w w:val="100"/>
          <w:position w:val="0"/>
          <w:u w:val="single"/>
          <w:shd w:val="clear" w:color="auto" w:fill="auto"/>
          <w:lang w:val="ru-RU" w:eastAsia="ru-RU" w:bidi="ru-RU"/>
        </w:rPr>
        <w:t>закупаемого товара:</w:t>
      </w:r>
    </w:p>
    <w:tbl>
      <w:tblPr>
        <w:tblOverlap w:val="never"/>
        <w:jc w:val="center"/>
        <w:tblLayout w:type="fixed"/>
      </w:tblPr>
      <w:tblGrid>
        <w:gridCol w:w="643"/>
        <w:gridCol w:w="4243"/>
        <w:gridCol w:w="1973"/>
      </w:tblGrid>
      <w:tr>
        <w:trPr>
          <w:trHeight w:val="629"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i/>
                <w:iCs/>
                <w:color w:val="000000"/>
                <w:spacing w:val="0"/>
                <w:w w:val="100"/>
                <w:position w:val="0"/>
                <w:shd w:val="clear" w:color="auto" w:fill="auto"/>
                <w:lang w:val="ru-RU" w:eastAsia="ru-RU" w:bidi="ru-RU"/>
              </w:rPr>
              <w:t>Ле п/п</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i/>
                <w:iCs/>
                <w:color w:val="000000"/>
                <w:spacing w:val="0"/>
                <w:w w:val="100"/>
                <w:position w:val="0"/>
                <w:shd w:val="clear" w:color="auto" w:fill="auto"/>
                <w:lang w:val="ru-RU" w:eastAsia="ru-RU" w:bidi="ru-RU"/>
              </w:rPr>
              <w:t>Наименование показателя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center"/>
            </w:pPr>
            <w:r>
              <w:rPr>
                <w:i/>
                <w:iCs/>
                <w:color w:val="000000"/>
                <w:spacing w:val="0"/>
                <w:w w:val="100"/>
                <w:position w:val="0"/>
                <w:shd w:val="clear" w:color="auto" w:fill="auto"/>
                <w:lang w:val="ru-RU" w:eastAsia="ru-RU" w:bidi="ru-RU"/>
              </w:rPr>
              <w:t>Требуемое значение показателя или наличие функции (функционала)</w:t>
            </w:r>
          </w:p>
        </w:tc>
      </w:tr>
      <w:tr>
        <w:trPr>
          <w:trHeight w:val="81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Наименование товара**</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Стол операционный универсальный, электромеханический, с питанием от сети</w:t>
            </w:r>
          </w:p>
        </w:tc>
      </w:tr>
      <w:tr>
        <w:trPr>
          <w:trHeight w:val="21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Количество поставляемого товара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 шт.</w:t>
            </w:r>
          </w:p>
        </w:tc>
      </w:tr>
      <w:tr>
        <w:trPr>
          <w:trHeight w:val="408" w:hRule="exact"/>
        </w:trPr>
        <w:tc>
          <w:tcPr>
            <w:gridSpan w:val="3"/>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center"/>
            </w:pPr>
            <w:r>
              <w:rPr>
                <w:i/>
                <w:iCs/>
                <w:color w:val="000000"/>
                <w:spacing w:val="0"/>
                <w:w w:val="100"/>
                <w:position w:val="0"/>
                <w:shd w:val="clear" w:color="auto" w:fill="auto"/>
                <w:lang w:val="ru-RU" w:eastAsia="ru-RU" w:bidi="ru-RU"/>
              </w:rPr>
              <w:t>Требования к функциональным, техническим характеристикам и комплектации единицы товара:</w:t>
            </w:r>
          </w:p>
        </w:tc>
      </w:tr>
      <w:tr>
        <w:trPr>
          <w:trHeight w:val="614"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Стол операционный общехирургический с моторным приводом для проведения широкого спектра хирургических операций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Количество секций*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5 секций</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Проводной дистанционный пульт управления столом</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237"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3.1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Функциональные клавиши ручного пульта управления:</w:t>
            </w:r>
          </w:p>
          <w:p>
            <w:pPr>
              <w:pStyle w:val="Style17"/>
              <w:keepNext w:val="0"/>
              <w:keepLines w:val="0"/>
              <w:widowControl w:val="0"/>
              <w:numPr>
                <w:ilvl w:val="0"/>
                <w:numId w:val="7"/>
              </w:numPr>
              <w:shd w:val="clear" w:color="auto" w:fill="auto"/>
              <w:tabs>
                <w:tab w:pos="106" w:val="left"/>
              </w:tabs>
              <w:bidi w:val="0"/>
              <w:spacing w:before="0" w:after="0" w:line="254" w:lineRule="auto"/>
              <w:ind w:left="0" w:right="0" w:firstLine="0"/>
              <w:jc w:val="left"/>
            </w:pPr>
            <w:r>
              <w:rPr>
                <w:color w:val="000000"/>
                <w:spacing w:val="0"/>
                <w:w w:val="100"/>
                <w:position w:val="0"/>
                <w:shd w:val="clear" w:color="auto" w:fill="auto"/>
                <w:lang w:val="ru-RU" w:eastAsia="ru-RU" w:bidi="ru-RU"/>
              </w:rPr>
              <w:t>подъем и опускание столешницы;</w:t>
            </w:r>
          </w:p>
          <w:p>
            <w:pPr>
              <w:pStyle w:val="Style17"/>
              <w:keepNext w:val="0"/>
              <w:keepLines w:val="0"/>
              <w:widowControl w:val="0"/>
              <w:numPr>
                <w:ilvl w:val="0"/>
                <w:numId w:val="7"/>
              </w:numPr>
              <w:shd w:val="clear" w:color="auto" w:fill="auto"/>
              <w:tabs>
                <w:tab w:pos="106" w:val="left"/>
              </w:tabs>
              <w:bidi w:val="0"/>
              <w:spacing w:before="0" w:after="0" w:line="254" w:lineRule="auto"/>
              <w:ind w:left="0" w:right="0" w:firstLine="0"/>
              <w:jc w:val="left"/>
            </w:pPr>
            <w:r>
              <w:rPr>
                <w:color w:val="000000"/>
                <w:spacing w:val="0"/>
                <w:w w:val="100"/>
                <w:position w:val="0"/>
                <w:shd w:val="clear" w:color="auto" w:fill="auto"/>
                <w:lang w:val="ru-RU" w:eastAsia="ru-RU" w:bidi="ru-RU"/>
              </w:rPr>
              <w:t>регулировка положения Тренделенбурга и Антитренделенбурга;</w:t>
            </w:r>
          </w:p>
          <w:p>
            <w:pPr>
              <w:pStyle w:val="Style17"/>
              <w:keepNext w:val="0"/>
              <w:keepLines w:val="0"/>
              <w:widowControl w:val="0"/>
              <w:numPr>
                <w:ilvl w:val="0"/>
                <w:numId w:val="7"/>
              </w:numPr>
              <w:shd w:val="clear" w:color="auto" w:fill="auto"/>
              <w:tabs>
                <w:tab w:pos="106" w:val="left"/>
              </w:tabs>
              <w:bidi w:val="0"/>
              <w:spacing w:before="0" w:after="0" w:line="254" w:lineRule="auto"/>
              <w:ind w:left="0" w:right="0" w:firstLine="0"/>
              <w:jc w:val="left"/>
            </w:pPr>
            <w:r>
              <w:rPr>
                <w:color w:val="000000"/>
                <w:spacing w:val="0"/>
                <w:w w:val="100"/>
                <w:position w:val="0"/>
                <w:shd w:val="clear" w:color="auto" w:fill="auto"/>
                <w:lang w:val="ru-RU" w:eastAsia="ru-RU" w:bidi="ru-RU"/>
              </w:rPr>
              <w:t>боковой наклон вправо и влево;</w:t>
            </w:r>
          </w:p>
          <w:p>
            <w:pPr>
              <w:pStyle w:val="Style17"/>
              <w:keepNext w:val="0"/>
              <w:keepLines w:val="0"/>
              <w:widowControl w:val="0"/>
              <w:numPr>
                <w:ilvl w:val="0"/>
                <w:numId w:val="7"/>
              </w:numPr>
              <w:shd w:val="clear" w:color="auto" w:fill="auto"/>
              <w:tabs>
                <w:tab w:pos="106" w:val="left"/>
              </w:tabs>
              <w:bidi w:val="0"/>
              <w:spacing w:before="0" w:after="0" w:line="254" w:lineRule="auto"/>
              <w:ind w:left="0" w:right="0" w:firstLine="0"/>
              <w:jc w:val="left"/>
            </w:pPr>
            <w:r>
              <w:rPr>
                <w:color w:val="000000"/>
                <w:spacing w:val="0"/>
                <w:w w:val="100"/>
                <w:position w:val="0"/>
                <w:shd w:val="clear" w:color="auto" w:fill="auto"/>
                <w:lang w:val="ru-RU" w:eastAsia="ru-RU" w:bidi="ru-RU"/>
              </w:rPr>
              <w:t>подъем и опускание спинной секции;</w:t>
            </w:r>
          </w:p>
          <w:p>
            <w:pPr>
              <w:pStyle w:val="Style17"/>
              <w:keepNext w:val="0"/>
              <w:keepLines w:val="0"/>
              <w:widowControl w:val="0"/>
              <w:numPr>
                <w:ilvl w:val="0"/>
                <w:numId w:val="7"/>
              </w:numPr>
              <w:shd w:val="clear" w:color="auto" w:fill="auto"/>
              <w:tabs>
                <w:tab w:pos="106" w:val="left"/>
              </w:tabs>
              <w:bidi w:val="0"/>
              <w:spacing w:before="0" w:after="0" w:line="254" w:lineRule="auto"/>
              <w:ind w:left="0" w:right="0" w:firstLine="0"/>
              <w:jc w:val="left"/>
            </w:pPr>
            <w:r>
              <w:rPr>
                <w:color w:val="000000"/>
                <w:spacing w:val="0"/>
                <w:w w:val="100"/>
                <w:position w:val="0"/>
                <w:shd w:val="clear" w:color="auto" w:fill="auto"/>
                <w:lang w:val="ru-RU" w:eastAsia="ru-RU" w:bidi="ru-RU"/>
              </w:rPr>
              <w:t>нулевое положение;</w:t>
            </w:r>
          </w:p>
          <w:p>
            <w:pPr>
              <w:pStyle w:val="Style17"/>
              <w:keepNext w:val="0"/>
              <w:keepLines w:val="0"/>
              <w:widowControl w:val="0"/>
              <w:numPr>
                <w:ilvl w:val="0"/>
                <w:numId w:val="7"/>
              </w:numPr>
              <w:shd w:val="clear" w:color="auto" w:fill="auto"/>
              <w:tabs>
                <w:tab w:pos="106" w:val="left"/>
              </w:tabs>
              <w:bidi w:val="0"/>
              <w:spacing w:before="0" w:after="0" w:line="254" w:lineRule="auto"/>
              <w:ind w:left="0" w:right="0" w:firstLine="0"/>
              <w:jc w:val="left"/>
            </w:pPr>
            <w:r>
              <w:rPr>
                <w:color w:val="000000"/>
                <w:spacing w:val="0"/>
                <w:w w:val="100"/>
                <w:position w:val="0"/>
                <w:shd w:val="clear" w:color="auto" w:fill="auto"/>
                <w:lang w:val="ru-RU" w:eastAsia="ru-RU" w:bidi="ru-RU"/>
              </w:rPr>
              <w:t>положение сгибания;</w:t>
            </w:r>
          </w:p>
          <w:p>
            <w:pPr>
              <w:pStyle w:val="Style17"/>
              <w:keepNext w:val="0"/>
              <w:keepLines w:val="0"/>
              <w:widowControl w:val="0"/>
              <w:numPr>
                <w:ilvl w:val="0"/>
                <w:numId w:val="7"/>
              </w:numPr>
              <w:shd w:val="clear" w:color="auto" w:fill="auto"/>
              <w:tabs>
                <w:tab w:pos="106" w:val="left"/>
              </w:tabs>
              <w:bidi w:val="0"/>
              <w:spacing w:before="0" w:after="0" w:line="254" w:lineRule="auto"/>
              <w:ind w:left="0" w:right="0" w:firstLine="0"/>
              <w:jc w:val="left"/>
            </w:pPr>
            <w:r>
              <w:rPr>
                <w:color w:val="000000"/>
                <w:spacing w:val="0"/>
                <w:w w:val="100"/>
                <w:position w:val="0"/>
                <w:shd w:val="clear" w:color="auto" w:fill="auto"/>
                <w:lang w:val="ru-RU" w:eastAsia="ru-RU" w:bidi="ru-RU"/>
              </w:rPr>
              <w:t>положение разгибания;</w:t>
            </w:r>
          </w:p>
          <w:p>
            <w:pPr>
              <w:pStyle w:val="Style17"/>
              <w:keepNext w:val="0"/>
              <w:keepLines w:val="0"/>
              <w:widowControl w:val="0"/>
              <w:numPr>
                <w:ilvl w:val="0"/>
                <w:numId w:val="7"/>
              </w:numPr>
              <w:shd w:val="clear" w:color="auto" w:fill="auto"/>
              <w:tabs>
                <w:tab w:pos="106" w:val="left"/>
              </w:tabs>
              <w:bidi w:val="0"/>
              <w:spacing w:before="0" w:after="0" w:line="254" w:lineRule="auto"/>
              <w:ind w:left="0" w:right="0" w:firstLine="0"/>
              <w:jc w:val="left"/>
            </w:pPr>
            <w:r>
              <w:rPr>
                <w:color w:val="000000"/>
                <w:spacing w:val="0"/>
                <w:w w:val="100"/>
                <w:position w:val="0"/>
                <w:shd w:val="clear" w:color="auto" w:fill="auto"/>
                <w:lang w:val="ru-RU" w:eastAsia="ru-RU" w:bidi="ru-RU"/>
              </w:rPr>
              <w:t>управление продольным сдвигом панели стола</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3.2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Клавиши с самопоясняющими пиктограммами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3.3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Дисплей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Дублирующий пульт управления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Встроенные колеса для перемещения внутри операционной*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4 шт.</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5.1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Диаметр колес*</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125 мм</w:t>
            </w:r>
          </w:p>
        </w:tc>
      </w:tr>
      <w:tr>
        <w:trPr>
          <w:trHeight w:val="206"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6</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Высота стола:</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6.1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Минимальное значение*</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750 мм</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6.2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значение*</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1000 мм</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6.3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регулировки высоты стола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Скорость подъема и опускания панели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0,0085 м/с</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бокового наклона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продольного наклона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.10</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продольного сдвига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10.1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Продольный сдвиг панели*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320 мм</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регулировки спинной секции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21" w:hRule="exact"/>
        </w:trPr>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11.1</w:t>
            </w:r>
          </w:p>
        </w:tc>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спинной секции вниз*</w:t>
            </w:r>
          </w:p>
        </w:tc>
        <w:tc>
          <w:tcPr>
            <w:tcBorders>
              <w:top w:val="single" w:sz="4"/>
              <w:left w:val="single" w:sz="4"/>
              <w:bottom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20 градусов</w:t>
            </w:r>
          </w:p>
        </w:tc>
      </w:tr>
    </w:tbl>
    <w:p>
      <w:pPr>
        <w:spacing w:lineRule="exact" w:line="1"/>
        <w:rPr>
          <w:sz w:val="2"/>
          <w:szCs w:val="2"/>
        </w:rPr>
      </w:pPr>
      <w:r>
        <w:br w:type="page"/>
      </w:r>
    </w:p>
    <w:tbl>
      <w:tblPr>
        <w:tblOverlap w:val="never"/>
        <w:jc w:val="center"/>
        <w:tblLayout w:type="fixed"/>
      </w:tblPr>
      <w:tblGrid>
        <w:gridCol w:w="643"/>
        <w:gridCol w:w="4210"/>
        <w:gridCol w:w="1987"/>
      </w:tblGrid>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11.2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спинной секции вверх*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75 градусов</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12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Съемная головная секция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12.1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Механическая регулировка головной секции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12.2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головной секции вверх*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40 градусов</w:t>
            </w:r>
          </w:p>
        </w:tc>
      </w:tr>
      <w:tr>
        <w:trPr>
          <w:trHeight w:val="21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12.3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головной секции вниз*</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90 градусов</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12.4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обратного наклона панели головной секции*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35 градусов</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Раздельная, съемная ножная секция, с возможностью разворота в горизонтальной плоскости</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13.1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регулировки ножной секции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13.2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подъема ножной секции вверх*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15 градусов</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13.3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ножной секции вниз*</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90 градусов</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13.4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разведения в каждую сторону*</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90 градусов</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14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Встроенный почечный валик</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15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Съемный матрац на весь стол по секциям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15.1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Толщина матраца*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70 мм</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16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Грузоподъемность*</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250 кг</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17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Длина панели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2000 мм</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18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Ширина панели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500 мм</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19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Панель стола рентгенопрозрачная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20</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Ширина стола по рейкам*</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550 мм</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21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Длина сечения рейки для крепления съемных приспособлений*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25 мм</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22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Ширина сечения рейки для крепления съемных приспособлений*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10 мм</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23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Аккумуляторная батарея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23.1</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Индикация заряда аккумуляторной батареи на пульте панели стола</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24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Электропитание: однофазная сеть переменного тока, напряжение 220 В, частота 50 Гц</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25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Комплект съемных приспособлений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2"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Анестезиологическая ширма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 поры-держатели для тела*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 поры-держатели для плеч*</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Опора под руку*</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Панель операционная для руки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2"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Упоры для ступней*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1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Упоры для ног по Гёппелю*</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Инфузионная стойка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25.9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Комплект ремней для фиксации*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 комплекта</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25.10</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Поддон</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26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Ортопедическая приставка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26.1</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Габаритная длина в максимально выдвинутом состоянии*</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2120 мм</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26.2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Габаритная ширина*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600 мм</w:t>
            </w:r>
          </w:p>
        </w:tc>
      </w:tr>
      <w:tr>
        <w:trPr>
          <w:trHeight w:val="21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26.3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Габаритная высота*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1230 мм</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26.4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Длина от оси шарнира, на котором крепится тазовая секция*</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1500 мм</w:t>
            </w:r>
          </w:p>
        </w:tc>
      </w:tr>
      <w:tr>
        <w:trPr>
          <w:trHeight w:val="216" w:hRule="exact"/>
        </w:trPr>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26.5</w:t>
            </w:r>
          </w:p>
        </w:tc>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поворота*</w:t>
            </w:r>
          </w:p>
        </w:tc>
        <w:tc>
          <w:tcPr>
            <w:tcBorders>
              <w:top w:val="single" w:sz="4"/>
              <w:left w:val="single" w:sz="4"/>
              <w:bottom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170 градусов</w:t>
            </w:r>
          </w:p>
        </w:tc>
      </w:tr>
    </w:tbl>
    <w:p>
      <w:pPr>
        <w:spacing w:lineRule="exact" w:line="1"/>
        <w:rPr>
          <w:sz w:val="2"/>
          <w:szCs w:val="2"/>
        </w:rPr>
      </w:pPr>
      <w:r>
        <w:br w:type="page"/>
      </w:r>
    </w:p>
    <w:tbl>
      <w:tblPr>
        <w:tblOverlap w:val="never"/>
        <w:jc w:val="center"/>
        <w:tblLayout w:type="fixed"/>
      </w:tblPr>
      <w:tblGrid>
        <w:gridCol w:w="653"/>
        <w:gridCol w:w="4229"/>
        <w:gridCol w:w="1987"/>
      </w:tblGrid>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26.6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Тазовая секция с матрасом из полиуретана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830"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26.6.1</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Материал тазовой секции*</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Нержавеющая сталь или Высокопрочный пластик</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26.7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Диапазон регулировки высоты тазовой опоры:</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6"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26.7.1''</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Минимальное значение*</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950 мм</w:t>
            </w: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26.7.2</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значение*</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1020 мм</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26.8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Универсальная плита для ног</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26.8.1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Диапазон .регулировки высоты универсальной плиты для ног:</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08"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26.8.1 .1</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Минимальное значение*</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950 мм</w:t>
            </w:r>
          </w:p>
        </w:tc>
      </w:tr>
      <w:tr>
        <w:trPr>
          <w:trHeight w:val="413"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26.8.1 .2</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значение*</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1020 мм</w:t>
            </w:r>
          </w:p>
        </w:tc>
      </w:tr>
      <w:tr>
        <w:trPr>
          <w:trHeight w:val="202"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ru-RU" w:eastAsia="ru-RU" w:bidi="ru-RU"/>
              </w:rPr>
              <w:t>26.9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Держатель ступни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26.9.1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Сдвиг держателя ступни влево-вправо в каждую сторону*</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240 мм</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26.10</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Опорные балки*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Адаптер для присоединения к столу</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Тазовая секция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Опора тазовой секции на колесах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Направляющая с опорной балкой под вытяжное устройство*</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Вытяжное устройство*</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Бедренная опора*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Ортопедические ботинки для взрослых*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 шт.</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Изогнутый валик для положения на боку</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26.19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Противотяжный валик для положения на спине прямой большой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202"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26.20</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Малый валик для положения на спине</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422" w:hRule="exact"/>
        </w:trPr>
        <w:tc>
          <w:tcPr>
            <w:tcBorders>
              <w:top w:val="single" w:sz="4"/>
              <w:left w:val="single" w:sz="4"/>
              <w:bottom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26.21</w:t>
            </w:r>
          </w:p>
        </w:tc>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Металлические части ортопедической приставки из нержавеющей стали</w:t>
            </w:r>
          </w:p>
        </w:tc>
        <w:tc>
          <w:tcPr>
            <w:tcBorders>
              <w:top w:val="single" w:sz="4"/>
              <w:left w:val="single" w:sz="4"/>
              <w:bottom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bl>
    <w:p>
      <w:pPr>
        <w:widowControl w:val="0"/>
        <w:spacing w:after="199" w:line="1" w:lineRule="exact"/>
      </w:pP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Описание объекта закупки содержит указание: «Описание вида медицинского изделия в соответствии с Номенклатурной классификацией медицинских изделий по видам указано в КТРУ.</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Функциональные, технические, качественные, эксплуатационные характеристики товара установлены с целью определения соответствия поставляемого товара потребностям получателя товара».</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Раздел 2 Описания объекта закупки содержит Обоснование необходимости указания потребительских свойств, в том числе функциональных, технических, </w:t>
      </w:r>
      <w:r>
        <w:rPr>
          <w:color w:val="000000"/>
          <w:spacing w:val="0"/>
          <w:w w:val="100"/>
          <w:position w:val="0"/>
          <w:u w:val="single"/>
          <w:shd w:val="clear" w:color="auto" w:fill="auto"/>
          <w:lang w:val="ru-RU" w:eastAsia="ru-RU" w:bidi="ru-RU"/>
        </w:rPr>
        <w:t>качественных, эксплуатационных характеристик товара, не предусмотренных КТРУ:</w:t>
      </w:r>
    </w:p>
    <w:tbl>
      <w:tblPr>
        <w:tblOverlap w:val="never"/>
        <w:jc w:val="center"/>
        <w:tblLayout w:type="fixed"/>
      </w:tblPr>
      <w:tblGrid>
        <w:gridCol w:w="811"/>
        <w:gridCol w:w="3850"/>
        <w:gridCol w:w="2155"/>
      </w:tblGrid>
      <w:tr>
        <w:trPr>
          <w:trHeight w:val="62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i/>
                <w:iCs/>
                <w:color w:val="000000"/>
                <w:spacing w:val="0"/>
                <w:w w:val="100"/>
                <w:position w:val="0"/>
                <w:shd w:val="clear" w:color="auto" w:fill="auto"/>
                <w:lang w:val="ru-RU" w:eastAsia="ru-RU" w:bidi="ru-RU"/>
              </w:rPr>
              <w:t>Наименование показателя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center"/>
            </w:pPr>
            <w:r>
              <w:rPr>
                <w:i/>
                <w:iCs/>
                <w:color w:val="000000"/>
                <w:spacing w:val="0"/>
                <w:w w:val="100"/>
                <w:position w:val="0"/>
                <w:shd w:val="clear" w:color="auto" w:fill="auto"/>
                <w:lang w:val="ru-RU" w:eastAsia="ru-RU" w:bidi="ru-RU"/>
              </w:rPr>
              <w:t>Обоснование технических и функциональных показателей</w:t>
            </w:r>
          </w:p>
        </w:tc>
      </w:tr>
      <w:tr>
        <w:trPr>
          <w:trHeight w:val="624" w:hRule="exact"/>
        </w:trPr>
        <w:tc>
          <w:tcPr>
            <w:tcBorders>
              <w:top w:val="single" w:sz="4"/>
              <w:left w:val="single" w:sz="4"/>
              <w:bottom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Стол операционный общехирургический с моторным приводом для проведения широкого спектра хирургических операций</w:t>
            </w:r>
          </w:p>
        </w:tc>
        <w:tc>
          <w:tcPr>
            <w:tcBorders>
              <w:top w:val="single" w:sz="4"/>
              <w:left w:val="single" w:sz="4"/>
              <w:bottom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bl>
    <w:p>
      <w:pPr>
        <w:spacing w:lineRule="exact" w:line="1"/>
        <w:rPr>
          <w:sz w:val="2"/>
          <w:szCs w:val="2"/>
        </w:rPr>
      </w:pPr>
      <w:r>
        <w:br w:type="page"/>
      </w:r>
    </w:p>
    <w:tbl>
      <w:tblPr>
        <w:tblOverlap w:val="never"/>
        <w:jc w:val="center"/>
        <w:tblLayout w:type="fixed"/>
      </w:tblPr>
      <w:tblGrid>
        <w:gridCol w:w="797"/>
        <w:gridCol w:w="3845"/>
        <w:gridCol w:w="2165"/>
      </w:tblGrid>
      <w:tr>
        <w:trPr>
          <w:trHeight w:val="629"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2</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Количество секций*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создания различных анатомических положений пациента</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3</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Проводной дистанционный пульт управления столом</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232"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3.1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Функциональные клавиши ручного пульта управления:</w:t>
            </w:r>
          </w:p>
          <w:p>
            <w:pPr>
              <w:pStyle w:val="Style17"/>
              <w:keepNext w:val="0"/>
              <w:keepLines w:val="0"/>
              <w:widowControl w:val="0"/>
              <w:numPr>
                <w:ilvl w:val="0"/>
                <w:numId w:val="9"/>
              </w:numPr>
              <w:shd w:val="clear" w:color="auto" w:fill="auto"/>
              <w:tabs>
                <w:tab w:pos="96" w:val="left"/>
              </w:tabs>
              <w:bidi w:val="0"/>
              <w:spacing w:before="0" w:after="0" w:line="252" w:lineRule="auto"/>
              <w:ind w:left="0" w:right="0" w:firstLine="0"/>
              <w:jc w:val="left"/>
            </w:pPr>
            <w:r>
              <w:rPr>
                <w:color w:val="000000"/>
                <w:spacing w:val="0"/>
                <w:w w:val="100"/>
                <w:position w:val="0"/>
                <w:shd w:val="clear" w:color="auto" w:fill="auto"/>
                <w:lang w:val="ru-RU" w:eastAsia="ru-RU" w:bidi="ru-RU"/>
              </w:rPr>
              <w:t>подъем и опускание столешницы;</w:t>
            </w:r>
          </w:p>
          <w:p>
            <w:pPr>
              <w:pStyle w:val="Style17"/>
              <w:keepNext w:val="0"/>
              <w:keepLines w:val="0"/>
              <w:widowControl w:val="0"/>
              <w:numPr>
                <w:ilvl w:val="0"/>
                <w:numId w:val="9"/>
              </w:numPr>
              <w:shd w:val="clear" w:color="auto" w:fill="auto"/>
              <w:tabs>
                <w:tab w:pos="96" w:val="left"/>
              </w:tabs>
              <w:bidi w:val="0"/>
              <w:spacing w:before="0" w:after="0" w:line="252" w:lineRule="auto"/>
              <w:ind w:left="0" w:right="0" w:firstLine="0"/>
              <w:jc w:val="left"/>
            </w:pPr>
            <w:r>
              <w:rPr>
                <w:color w:val="000000"/>
                <w:spacing w:val="0"/>
                <w:w w:val="100"/>
                <w:position w:val="0"/>
                <w:shd w:val="clear" w:color="auto" w:fill="auto"/>
                <w:lang w:val="ru-RU" w:eastAsia="ru-RU" w:bidi="ru-RU"/>
              </w:rPr>
              <w:t>регулировка положения Тренделенбурга и Антитренделенбурга;</w:t>
            </w:r>
          </w:p>
          <w:p>
            <w:pPr>
              <w:pStyle w:val="Style17"/>
              <w:keepNext w:val="0"/>
              <w:keepLines w:val="0"/>
              <w:widowControl w:val="0"/>
              <w:numPr>
                <w:ilvl w:val="0"/>
                <w:numId w:val="9"/>
              </w:numPr>
              <w:shd w:val="clear" w:color="auto" w:fill="auto"/>
              <w:tabs>
                <w:tab w:pos="96" w:val="left"/>
              </w:tabs>
              <w:bidi w:val="0"/>
              <w:spacing w:before="0" w:after="0" w:line="252" w:lineRule="auto"/>
              <w:ind w:left="0" w:right="0" w:firstLine="0"/>
              <w:jc w:val="left"/>
            </w:pPr>
            <w:r>
              <w:rPr>
                <w:color w:val="000000"/>
                <w:spacing w:val="0"/>
                <w:w w:val="100"/>
                <w:position w:val="0"/>
                <w:shd w:val="clear" w:color="auto" w:fill="auto"/>
                <w:lang w:val="ru-RU" w:eastAsia="ru-RU" w:bidi="ru-RU"/>
              </w:rPr>
              <w:t>боковой наклон вправо и влево;</w:t>
            </w:r>
          </w:p>
          <w:p>
            <w:pPr>
              <w:pStyle w:val="Style17"/>
              <w:keepNext w:val="0"/>
              <w:keepLines w:val="0"/>
              <w:widowControl w:val="0"/>
              <w:numPr>
                <w:ilvl w:val="0"/>
                <w:numId w:val="9"/>
              </w:numPr>
              <w:shd w:val="clear" w:color="auto" w:fill="auto"/>
              <w:tabs>
                <w:tab w:pos="96" w:val="left"/>
              </w:tabs>
              <w:bidi w:val="0"/>
              <w:spacing w:before="0" w:after="0" w:line="252" w:lineRule="auto"/>
              <w:ind w:left="0" w:right="0" w:firstLine="0"/>
              <w:jc w:val="left"/>
            </w:pPr>
            <w:r>
              <w:rPr>
                <w:color w:val="000000"/>
                <w:spacing w:val="0"/>
                <w:w w:val="100"/>
                <w:position w:val="0"/>
                <w:shd w:val="clear" w:color="auto" w:fill="auto"/>
                <w:lang w:val="ru-RU" w:eastAsia="ru-RU" w:bidi="ru-RU"/>
              </w:rPr>
              <w:t>подъем и опускание спинной секции;</w:t>
            </w:r>
          </w:p>
          <w:p>
            <w:pPr>
              <w:pStyle w:val="Style17"/>
              <w:keepNext w:val="0"/>
              <w:keepLines w:val="0"/>
              <w:widowControl w:val="0"/>
              <w:numPr>
                <w:ilvl w:val="0"/>
                <w:numId w:val="9"/>
              </w:numPr>
              <w:shd w:val="clear" w:color="auto" w:fill="auto"/>
              <w:tabs>
                <w:tab w:pos="96" w:val="left"/>
              </w:tabs>
              <w:bidi w:val="0"/>
              <w:spacing w:before="0" w:after="0" w:line="252" w:lineRule="auto"/>
              <w:ind w:left="0" w:right="0" w:firstLine="0"/>
              <w:jc w:val="left"/>
            </w:pPr>
            <w:r>
              <w:rPr>
                <w:color w:val="000000"/>
                <w:spacing w:val="0"/>
                <w:w w:val="100"/>
                <w:position w:val="0"/>
                <w:shd w:val="clear" w:color="auto" w:fill="auto"/>
                <w:lang w:val="ru-RU" w:eastAsia="ru-RU" w:bidi="ru-RU"/>
              </w:rPr>
              <w:t>нулевое положение;</w:t>
            </w:r>
          </w:p>
          <w:p>
            <w:pPr>
              <w:pStyle w:val="Style17"/>
              <w:keepNext w:val="0"/>
              <w:keepLines w:val="0"/>
              <w:widowControl w:val="0"/>
              <w:numPr>
                <w:ilvl w:val="0"/>
                <w:numId w:val="9"/>
              </w:numPr>
              <w:shd w:val="clear" w:color="auto" w:fill="auto"/>
              <w:tabs>
                <w:tab w:pos="96" w:val="left"/>
              </w:tabs>
              <w:bidi w:val="0"/>
              <w:spacing w:before="0" w:after="0" w:line="252" w:lineRule="auto"/>
              <w:ind w:left="0" w:right="0" w:firstLine="0"/>
              <w:jc w:val="left"/>
            </w:pPr>
            <w:r>
              <w:rPr>
                <w:color w:val="000000"/>
                <w:spacing w:val="0"/>
                <w:w w:val="100"/>
                <w:position w:val="0"/>
                <w:shd w:val="clear" w:color="auto" w:fill="auto"/>
                <w:lang w:val="ru-RU" w:eastAsia="ru-RU" w:bidi="ru-RU"/>
              </w:rPr>
              <w:t>положение сгибания;</w:t>
            </w:r>
          </w:p>
          <w:p>
            <w:pPr>
              <w:pStyle w:val="Style17"/>
              <w:keepNext w:val="0"/>
              <w:keepLines w:val="0"/>
              <w:widowControl w:val="0"/>
              <w:numPr>
                <w:ilvl w:val="0"/>
                <w:numId w:val="9"/>
              </w:numPr>
              <w:shd w:val="clear" w:color="auto" w:fill="auto"/>
              <w:tabs>
                <w:tab w:pos="96" w:val="left"/>
              </w:tabs>
              <w:bidi w:val="0"/>
              <w:spacing w:before="0" w:after="0" w:line="252" w:lineRule="auto"/>
              <w:ind w:left="0" w:right="0" w:firstLine="0"/>
              <w:jc w:val="left"/>
            </w:pPr>
            <w:r>
              <w:rPr>
                <w:color w:val="000000"/>
                <w:spacing w:val="0"/>
                <w:w w:val="100"/>
                <w:position w:val="0"/>
                <w:shd w:val="clear" w:color="auto" w:fill="auto"/>
                <w:lang w:val="ru-RU" w:eastAsia="ru-RU" w:bidi="ru-RU"/>
              </w:rPr>
              <w:t>положение разгибания;</w:t>
            </w:r>
          </w:p>
          <w:p>
            <w:pPr>
              <w:pStyle w:val="Style17"/>
              <w:keepNext w:val="0"/>
              <w:keepLines w:val="0"/>
              <w:widowControl w:val="0"/>
              <w:numPr>
                <w:ilvl w:val="0"/>
                <w:numId w:val="9"/>
              </w:numPr>
              <w:shd w:val="clear" w:color="auto" w:fill="auto"/>
              <w:tabs>
                <w:tab w:pos="96" w:val="left"/>
              </w:tabs>
              <w:bidi w:val="0"/>
              <w:spacing w:before="0" w:after="0" w:line="252" w:lineRule="auto"/>
              <w:ind w:left="0" w:right="0" w:firstLine="0"/>
              <w:jc w:val="left"/>
            </w:pPr>
            <w:r>
              <w:rPr>
                <w:color w:val="000000"/>
                <w:spacing w:val="0"/>
                <w:w w:val="100"/>
                <w:position w:val="0"/>
                <w:shd w:val="clear" w:color="auto" w:fill="auto"/>
                <w:lang w:val="ru-RU" w:eastAsia="ru-RU" w:bidi="ru-RU"/>
              </w:rPr>
              <w:t>управление продольным сдвигом панели стола</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Для создания различных анатомических положений пациента в соответствии с клиническими задачами</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3.2</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Клавиши с самопоясняющими пиктограммами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Для ориентирования и управления столом</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3.3</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Дисплей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9" w:lineRule="auto"/>
              <w:ind w:left="0" w:right="0" w:firstLine="0"/>
              <w:jc w:val="center"/>
            </w:pPr>
            <w:r>
              <w:rPr>
                <w:color w:val="000000"/>
                <w:spacing w:val="0"/>
                <w:w w:val="100"/>
                <w:position w:val="0"/>
                <w:shd w:val="clear" w:color="auto" w:fill="auto"/>
                <w:lang w:val="ru-RU" w:eastAsia="ru-RU" w:bidi="ru-RU"/>
              </w:rPr>
              <w:t>Для отображения информации</w:t>
            </w:r>
          </w:p>
        </w:tc>
      </w:tr>
      <w:tr>
        <w:trPr>
          <w:trHeight w:val="40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4</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Дублирующий пульт управления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управления операционным столом</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Встроенные колеса для перемещения внутри операционной*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9" w:lineRule="auto"/>
              <w:ind w:left="0" w:right="0" w:firstLine="0"/>
              <w:jc w:val="center"/>
            </w:pPr>
            <w:r>
              <w:rPr>
                <w:color w:val="000000"/>
                <w:spacing w:val="0"/>
                <w:w w:val="100"/>
                <w:position w:val="0"/>
                <w:shd w:val="clear" w:color="auto" w:fill="auto"/>
                <w:lang w:val="ru-RU" w:eastAsia="ru-RU" w:bidi="ru-RU"/>
              </w:rPr>
              <w:t>Для перемещения’внутри операционной</w:t>
            </w: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5.1</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Диаметр колес*</w:t>
            </w:r>
          </w:p>
        </w:tc>
        <w:tc>
          <w:tcPr>
            <w:tcBorders>
              <w:top w:val="single" w:sz="4"/>
              <w:left w:val="single" w:sz="4"/>
              <w:right w:val="single" w:sz="4"/>
            </w:tcBorders>
            <w:shd w:val="clear" w:color="auto" w:fill="auto"/>
            <w:vAlign w:val="top"/>
          </w:tcPr>
          <w:p>
            <w:pPr>
              <w:widowControl w:val="0"/>
              <w:rPr>
                <w:sz w:val="10"/>
                <w:szCs w:val="10"/>
              </w:rPr>
            </w:pP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6</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Высота стола:</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6.1</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Минимальное значение*</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6.2</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значение*</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6.3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Привод регулировки высоты стола электрический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Скорость подъема и опускания панели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02"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бокового наклона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продольного наклона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610"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10</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продольного сдвига электрический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позиционирования панели стола при рентген- контроле</w:t>
            </w:r>
          </w:p>
        </w:tc>
      </w:tr>
      <w:tr>
        <w:trPr>
          <w:trHeight w:val="202"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10.1</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Продольный сдвиг, панели*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__</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И</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регулировки спинной секции электрический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11.1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спинной секции вниз*</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11.2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спинной секции вверх*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12</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Съемная головная секция</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1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12.1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Механическая регулировка головной секции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12.2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головной секции вверх*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12.3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головной секции вниз*</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12.4</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обратного наклона панели головной секции*</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ГОСТ Р 56107-2014</w:t>
            </w:r>
          </w:p>
        </w:tc>
      </w:tr>
      <w:tr>
        <w:trPr>
          <w:trHeight w:val="432" w:hRule="exact"/>
        </w:trPr>
        <w:tc>
          <w:tcPr>
            <w:tcBorders>
              <w:top w:val="single" w:sz="4"/>
              <w:left w:val="single" w:sz="4"/>
              <w:bottom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13</w:t>
            </w:r>
          </w:p>
        </w:tc>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Раздельная, съемная ножная секция, с возможностью разворота в горизонтальной</w:t>
            </w:r>
          </w:p>
        </w:tc>
        <w:tc>
          <w:tcPr>
            <w:tcBorders>
              <w:top w:val="single" w:sz="4"/>
              <w:left w:val="single" w:sz="4"/>
              <w:bottom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подготовки стола в соответствии с</w:t>
            </w:r>
          </w:p>
        </w:tc>
      </w:tr>
    </w:tbl>
    <w:p>
      <w:pPr>
        <w:spacing w:lineRule="exact" w:line="1"/>
        <w:rPr>
          <w:sz w:val="2"/>
          <w:szCs w:val="2"/>
        </w:rPr>
      </w:pPr>
      <w:r>
        <w:br w:type="page"/>
      </w:r>
    </w:p>
    <w:tbl>
      <w:tblPr>
        <w:tblOverlap w:val="never"/>
        <w:jc w:val="center"/>
        <w:tblLayout w:type="fixed"/>
      </w:tblPr>
      <w:tblGrid>
        <w:gridCol w:w="821"/>
        <w:gridCol w:w="3864"/>
        <w:gridCol w:w="2136"/>
      </w:tblGrid>
      <w:tr>
        <w:trPr>
          <w:trHeight w:val="22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4"/>
                <w:szCs w:val="14"/>
              </w:rPr>
            </w:pPr>
            <w:r>
              <w:rPr>
                <w:rFonts w:ascii="Courier New" w:eastAsia="Courier New" w:hAnsi="Courier New" w:cs="Courier New"/>
                <w:b/>
                <w:bCs/>
                <w:color w:val="000000"/>
                <w:spacing w:val="0"/>
                <w:w w:val="100"/>
                <w:position w:val="0"/>
                <w:sz w:val="14"/>
                <w:szCs w:val="14"/>
                <w:shd w:val="clear" w:color="auto" w:fill="auto"/>
                <w:lang w:val="ru-RU" w:eastAsia="ru-RU" w:bidi="ru-RU"/>
              </w:rPr>
              <w:t>ПЛОСКОСТИ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клиническими задачами</w:t>
            </w:r>
          </w:p>
        </w:tc>
      </w:tr>
      <w:tr>
        <w:trPr>
          <w:trHeight w:val="821"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13.1</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Привод регулировки ножной секции электрический</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позиционирования секции при выполнении хирургических вмешательств</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13.2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подъема ножной секции вверх*</w:t>
            </w:r>
          </w:p>
        </w:tc>
        <w:tc>
          <w:tcPr>
            <w:tcBorders>
              <w:top w:val="single" w:sz="4"/>
              <w:left w:val="single" w:sz="4"/>
              <w:right w:val="single" w:sz="4"/>
            </w:tcBorders>
            <w:shd w:val="clear" w:color="auto" w:fill="auto"/>
            <w:vAlign w:val="top"/>
          </w:tcPr>
          <w:p>
            <w:pPr>
              <w:widowControl w:val="0"/>
              <w:rPr>
                <w:sz w:val="10"/>
                <w:szCs w:val="10"/>
              </w:rPr>
            </w:pP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13.3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наклона ножной секции вниз*</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619"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13.4</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разведения в каждую сторону*</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Для доступа к пациенту в соответствии с клиническими задачами</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Встроенный почечный валик</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15</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Съемный матрац на весь стол по секциям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размещения пациента на операционном столе</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15.1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Толщина матраца*</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рузоподъемность*</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Длина панели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Ширина панели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19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Панель стола рентгенопрозрачная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20</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Ширина стола по рейкам*</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21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Длина сечения рейки для крепления съемных приспособлений*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40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22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Ширина сечения рейки для крепления съемных приспособлений*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624"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23</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Аккумуляторная батарея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Для работы стола при отсутствии</w:t>
            </w:r>
          </w:p>
          <w:p>
            <w:pPr>
              <w:pStyle w:val="Style17"/>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 электропитания от сети</w:t>
            </w:r>
          </w:p>
        </w:tc>
      </w:tr>
      <w:tr>
        <w:trPr>
          <w:trHeight w:val="619"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23.1</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Индикация заряда аккумуляторной батареи на пульте панели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Для визуализации контроля заряда аккумуляторной батареи</w:t>
            </w:r>
          </w:p>
        </w:tc>
      </w:tr>
      <w:tr>
        <w:trPr>
          <w:trHeight w:val="40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24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Электропитание: однофазная сеть переменного тока, напряжение 220 В, частота 50 Гц</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25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Комплект съемных приспособлений стола: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Анестезиологическая ширма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 поры-держатели для тела*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Упоры-держатели для плеч*</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Опора под руку*</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2"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Панель операционная для руки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Упоры для ступней*</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Упоры для ног по Гёппелю*</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Инфузионная стойка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25.9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Комплект ремней для фиксации*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25.10</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Поддон</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619"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26</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Ортопедическая приставка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Для проведения травматологических и ортопедических операций</w:t>
            </w:r>
          </w:p>
        </w:tc>
      </w:tr>
      <w:tr>
        <w:trPr>
          <w:trHeight w:val="413"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Габаритная длина в максимально выдвинутом состоянии*</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26.2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Габаритная ширина*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r>
        <w:trPr>
          <w:trHeight w:val="226" w:hRule="exact"/>
        </w:trPr>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ru-RU" w:eastAsia="ru-RU" w:bidi="ru-RU"/>
              </w:rPr>
              <w:t>26.3</w:t>
            </w:r>
          </w:p>
        </w:tc>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Габаритная высота*</w:t>
            </w:r>
          </w:p>
        </w:tc>
        <w:tc>
          <w:tcPr>
            <w:tcBorders>
              <w:top w:val="single" w:sz="4"/>
              <w:left w:val="single" w:sz="4"/>
              <w:bottom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ru-RU" w:eastAsia="ru-RU" w:bidi="ru-RU"/>
              </w:rPr>
              <w:t>ГОСТ Р 56107-2014</w:t>
            </w:r>
          </w:p>
        </w:tc>
      </w:tr>
    </w:tbl>
    <w:p>
      <w:pPr>
        <w:sectPr>
          <w:footnotePr>
            <w:pos w:val="pageBottom"/>
            <w:numFmt w:val="decimal"/>
            <w:numRestart w:val="continuous"/>
          </w:footnotePr>
          <w:pgSz w:w="8400" w:h="11900"/>
          <w:pgMar w:top="703" w:right="833" w:bottom="1002" w:left="699" w:header="0" w:footer="3" w:gutter="0"/>
          <w:cols w:space="720"/>
          <w:noEndnote/>
          <w:rtlGutter w:val="0"/>
          <w:docGrid w:linePitch="360"/>
        </w:sectPr>
      </w:pPr>
    </w:p>
    <w:p>
      <w:pPr>
        <w:pStyle w:val="Style23"/>
        <w:keepNext/>
        <w:keepLines/>
        <w:widowControl w:val="0"/>
        <w:shd w:val="clear" w:color="auto" w:fill="auto"/>
        <w:bidi w:val="0"/>
        <w:spacing w:before="0" w:after="0" w:line="240" w:lineRule="auto"/>
        <w:ind w:left="0" w:right="0" w:firstLine="0"/>
        <w:jc w:val="center"/>
      </w:pPr>
      <w:bookmarkStart w:id="10" w:name="bookmark10"/>
      <w:r>
        <w:rPr>
          <w:rFonts w:ascii="Courier New" w:eastAsia="Courier New" w:hAnsi="Courier New" w:cs="Courier New"/>
          <w:color w:val="000000"/>
          <w:spacing w:val="0"/>
          <w:w w:val="100"/>
          <w:position w:val="0"/>
          <w:shd w:val="clear" w:color="auto" w:fill="auto"/>
          <w:lang w:val="ru-RU" w:eastAsia="ru-RU" w:bidi="ru-RU"/>
        </w:rPr>
        <w:t>-п-</w:t>
      </w:r>
      <w:bookmarkEnd w:id="10"/>
    </w:p>
    <w:tbl>
      <w:tblPr>
        <w:tblOverlap w:val="never"/>
        <w:jc w:val="center"/>
        <w:tblLayout w:type="fixed"/>
      </w:tblPr>
      <w:tblGrid>
        <w:gridCol w:w="806"/>
        <w:gridCol w:w="3840"/>
        <w:gridCol w:w="2155"/>
      </w:tblGrid>
      <w:tr>
        <w:trPr>
          <w:trHeight w:val="422"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Длина от оси шарнира, на котором крепится тазовая секция*</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поворота*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Тазовая секция с матрасом из полиуретана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26.6.1</w:t>
            </w:r>
          </w:p>
        </w:tc>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Материал тазовой секции*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59" w:lineRule="auto"/>
              <w:ind w:left="0" w:right="0" w:firstLine="0"/>
              <w:jc w:val="center"/>
            </w:pPr>
            <w:r>
              <w:rPr>
                <w:color w:val="000000"/>
                <w:spacing w:val="0"/>
                <w:w w:val="100"/>
                <w:position w:val="0"/>
                <w:shd w:val="clear" w:color="auto" w:fill="auto"/>
                <w:lang w:val="ru-RU" w:eastAsia="ru-RU" w:bidi="ru-RU"/>
              </w:rPr>
              <w:t>Для прочности и проведения дезинфекции</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Диапазон регулировки высоты тазовой опоры:</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26.7.1</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Минимальное значение*</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26.7.2</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значение*</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 нивёрсальная плита для ног</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40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26.8.1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Диапазон регулировки высоты универсальной плиты для ног:</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26.8.1.1</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Минимальное значение*</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26.8.1.2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Максимальное значение*</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Держатель ступни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40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26.9.1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Сдвиг держателя ступни влево-вправо в каждую сторону*</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26.10</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Опорные балки*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26.11</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Адаптер для присоединения к столу</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26.12</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Тазовая секция</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Опора тазовой секции на колесах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ГОСТ Р 56107-2014</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26.14</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Направляющая с опорной балкой под вытяжное устройство*</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26.15</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Вытяжное устройство*</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26.16</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Бедренная опора*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26.17</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Ортопедические ботинки для взрослых*</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26.18</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Изогнутый валик для положения на боку</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418" w:hRule="exact"/>
        </w:trPr>
        <w:tc>
          <w:tcPr>
            <w:tcBorders>
              <w:top w:val="single" w:sz="4"/>
              <w:lef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26.19</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Противотяжный валик для положения на спине прямой большой</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211"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26.20</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Малый валик для положения на спине</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ru-RU" w:eastAsia="ru-RU" w:bidi="ru-RU"/>
              </w:rPr>
              <w:t>ГОСТ Р 56107-2014</w:t>
            </w:r>
          </w:p>
        </w:tc>
      </w:tr>
      <w:tr>
        <w:trPr>
          <w:trHeight w:val="418" w:hRule="exact"/>
        </w:trPr>
        <w:tc>
          <w:tcPr>
            <w:tcBorders>
              <w:top w:val="single" w:sz="4"/>
              <w:left w:val="single" w:sz="4"/>
              <w:bottom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26.21</w:t>
            </w:r>
          </w:p>
        </w:tc>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Металлические части ортопедической приставки из нержавеющей стали</w:t>
            </w:r>
          </w:p>
        </w:tc>
        <w:tc>
          <w:tcPr>
            <w:tcBorders>
              <w:top w:val="single" w:sz="4"/>
              <w:left w:val="single" w:sz="4"/>
              <w:bottom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Для прочности и проведения дезинфекции</w:t>
            </w:r>
          </w:p>
        </w:tc>
      </w:tr>
    </w:tbl>
    <w:p>
      <w:pPr>
        <w:widowControl w:val="0"/>
        <w:spacing w:after="199" w:line="1" w:lineRule="exact"/>
      </w:pP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Комиссией Коми УФАС России по результатам анализа описания объекта закупки установлено отсутствие в нем требований или указаний в отношении товарных знаков, знаков обслуживания, фирменных наименований, патентов, полезных моделей, промышленных образцов, наименования страны происхождения товара, требований к товарам, которые влекут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При этом описание объекта закупки в соответствии с требованиями части 2 статьи 33 Закона о контрактной системе содержит показатели, позволяющие определить соответствие закупаемого товара установленным заказчиком требованиям, содержит максимальные и минимальные значения таких показателей, значения показателей, которые не могут изменяться.</w:t>
      </w:r>
    </w:p>
    <w:p>
      <w:pPr>
        <w:pStyle w:val="Style2"/>
        <w:keepNext w:val="0"/>
        <w:keepLines w:val="0"/>
        <w:widowControl w:val="0"/>
        <w:shd w:val="clear" w:color="auto" w:fill="auto"/>
        <w:bidi w:val="0"/>
        <w:spacing w:before="0" w:after="100" w:line="240" w:lineRule="auto"/>
        <w:ind w:left="0" w:right="0" w:firstLine="500"/>
        <w:jc w:val="both"/>
        <w:sectPr>
          <w:headerReference w:type="default" r:id="rId11"/>
          <w:footnotePr>
            <w:pos w:val="pageBottom"/>
            <w:numFmt w:val="decimal"/>
            <w:numRestart w:val="continuous"/>
          </w:footnotePr>
          <w:pgSz w:w="8400" w:h="11900"/>
          <w:pgMar w:top="471" w:right="516" w:bottom="471" w:left="1082" w:header="43" w:footer="43" w:gutter="0"/>
          <w:cols w:space="720"/>
          <w:noEndnote/>
          <w:rtlGutter w:val="0"/>
          <w:docGrid w:linePitch="360"/>
        </w:sectPr>
      </w:pPr>
      <w:r>
        <w:rPr>
          <w:color w:val="000000"/>
          <w:spacing w:val="0"/>
          <w:w w:val="100"/>
          <w:position w:val="0"/>
          <w:shd w:val="clear" w:color="auto" w:fill="auto"/>
          <w:lang w:val="ru-RU" w:eastAsia="ru-RU" w:bidi="ru-RU"/>
        </w:rPr>
        <w:t>Согласно письменным пояснениям Министерства здравоохранения Республики Коми, приведенным в отзыве на жалобу от 14.03.2023 № 5252/01-21 (вх. от 15.03.2023 № 1239-э), при описании объекта закупки заказчик руководствовался потребностями получателей.</w:t>
      </w:r>
    </w:p>
    <w:p>
      <w:pPr>
        <w:pStyle w:val="Style2"/>
        <w:keepNext w:val="0"/>
        <w:keepLines w:val="0"/>
        <w:widowControl w:val="0"/>
        <w:shd w:val="clear" w:color="auto" w:fill="auto"/>
        <w:bidi w:val="0"/>
        <w:spacing w:before="160" w:after="0" w:line="240" w:lineRule="auto"/>
        <w:ind w:left="0" w:right="0" w:firstLine="480"/>
        <w:jc w:val="both"/>
      </w:pPr>
      <w:r>
        <w:rPr>
          <w:color w:val="000000"/>
          <w:spacing w:val="0"/>
          <w:w w:val="100"/>
          <w:position w:val="0"/>
          <w:shd w:val="clear" w:color="auto" w:fill="auto"/>
          <w:lang w:val="ru-RU" w:eastAsia="ru-RU" w:bidi="ru-RU"/>
        </w:rPr>
        <w:t>С учетом отсутствия описания товара по коду позиции КТРУ 32.50.30.110- 00000022, заказчик при описании объекта закупки руководствовался статьей 33 Закона о контрактной системе.</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Комиссия Коми УФАС России отмечает, что Закон о контрактной системе позволяет заказчику, руководствуясь своими потребностями, определять предмет закупки, его количественные и качественные характеристики, в необходимой степени детализировать его, при этом запрещает ограничивать количество участников закупки.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Закон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описание объекта закупки требований к товарам, являющихся значимыми для заказчика, равно как и не предусматривает обязанность заказчика в описании объекта закупки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этой связи включение в описание объекта закупки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Однозначных и бесспорных доказательств того, что оспариваемые требования к товару являются несущественными для заказчика, в материалах жалобы отсутствуют.</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2"/>
        <w:keepNext w:val="0"/>
        <w:keepLines w:val="0"/>
        <w:widowControl w:val="0"/>
        <w:numPr>
          <w:ilvl w:val="2"/>
          <w:numId w:val="11"/>
        </w:numPr>
        <w:shd w:val="clear" w:color="auto" w:fill="auto"/>
        <w:tabs>
          <w:tab w:pos="1004"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Довод заявителя относительно того, что в описании объекта закупки содержатся противоречивые требования относительно наименования объекта закупки (при объекте закупки «стол операционный универсальный, электромеханический, с питанием от сети» в пункте 1 Описания объекта закупки указано иное наименование - «стол операционный общехирургический с моторным приводом для проведения широкого спектра хирургических операций» признается несостоятельным по следующим основаниям.</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Описание объекта закупки в разделе 2 в обосновании технических и функциональных показателей содержит указание, на «ГОСТ Р 56107-2014. Национальный стандарт Российской Федерации. Изделия медицинские электрические. Столы операционные. Технические требования для государственных закупок» (утв. и введен в действие Приказом Росстандарта от 16.09.2014 № 1082-ст) (далее - ГОСТ Р 56107-2014).</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введению ГОСТа Р 56107-2014 настоящий стандарт устанавливает основные требования, которые должны содержаться в технических заданиях для государственных закупок столов операционных.</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абзацах 1, 3 раздела 1 «Область применения» ГОСТа Р 56107-2014 указано: «Настоящий стандарт устанавливает общие требования к подготовке технических заданий (ГЗ) и их оформлению при проведении государственных закупок медицинского оборудования (МО): столов операционных (столов).</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Настоящий стандарт распространяется на государственные и муниципальные закупки МО. Стандарт не распространяется на негосударственные закупки МО».</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Согласно пунктам 4.1, 4.3 раздела 4 «Общие требования к содержанию технического задания для государственных закупок» ГОСТа Р 56107-2014: </w:t>
      </w:r>
      <w:r>
        <w:rPr>
          <w:color w:val="000000"/>
          <w:spacing w:val="0"/>
          <w:w w:val="100"/>
          <w:position w:val="0"/>
          <w:shd w:val="clear" w:color="auto" w:fill="auto"/>
          <w:lang w:val="ru-RU" w:eastAsia="ru-RU" w:bidi="ru-RU"/>
        </w:rPr>
        <w:t>«Техническое задание (ТЗ) к конкурсной документации разрабатывается заказчиком. ТЗ определяет предмет размещения заказа на закупку МО.</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Ответственность за полноту, достаточность и обоснованность ТЗ лежит на заказчике.</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ТЗ на стол наряду с общими требованиями может содержать конкретные технические требования к изделию.</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Заказчик </w:t>
      </w:r>
      <w:r>
        <w:rPr>
          <w:i/>
          <w:iCs/>
          <w:color w:val="000000"/>
          <w:spacing w:val="0"/>
          <w:w w:val="100"/>
          <w:position w:val="0"/>
          <w:shd w:val="clear" w:color="auto" w:fill="auto"/>
          <w:lang w:val="ru-RU" w:eastAsia="ru-RU" w:bidi="ru-RU"/>
        </w:rPr>
        <w:t>вправе</w:t>
      </w:r>
      <w:r>
        <w:rPr>
          <w:color w:val="000000"/>
          <w:spacing w:val="0"/>
          <w:w w:val="100"/>
          <w:position w:val="0"/>
          <w:shd w:val="clear" w:color="auto" w:fill="auto"/>
          <w:lang w:val="ru-RU" w:eastAsia="ru-RU" w:bidi="ru-RU"/>
        </w:rPr>
        <w:t xml:space="preserve"> в ТЗ включать дополнительные (опционные) и специфические дополнительные требования.</w:t>
      </w:r>
    </w:p>
    <w:p>
      <w:pPr>
        <w:pStyle w:val="Style2"/>
        <w:keepNext w:val="0"/>
        <w:keepLines w:val="0"/>
        <w:widowControl w:val="0"/>
        <w:shd w:val="clear" w:color="auto" w:fill="auto"/>
        <w:bidi w:val="0"/>
        <w:spacing w:before="0" w:after="0" w:line="240" w:lineRule="auto"/>
        <w:ind w:left="0" w:right="0" w:firstLine="500"/>
        <w:jc w:val="both"/>
      </w:pPr>
      <w:r>
        <w:rPr>
          <w:i/>
          <w:iCs/>
          <w:color w:val="000000"/>
          <w:spacing w:val="0"/>
          <w:w w:val="100"/>
          <w:position w:val="0"/>
          <w:shd w:val="clear" w:color="auto" w:fill="auto"/>
          <w:lang w:val="ru-RU" w:eastAsia="ru-RU" w:bidi="ru-RU"/>
        </w:rPr>
        <w:t>Дополнительные (опционные) требования отражают специфику применения МО с учетом конкретных потребностей и особенностей лечебно-профилактического учреждения.</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Специфические дополнительные требования должны иметь отдельное медико</w:t>
        <w:softHyphen/>
        <w:t>техническое обоснование, оформленное заказчиком в виде приложения к ТЗ.</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Выполнение всех требований, включенных заказчиком в ТЗ, является обязательным и необходимым условием для допуска к участию в закупке».</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По подпунктам 5.1.1, 5.1.2 пункта 5.1 раздела 5 «Классификация столов операционных» ГОСТа Р 56107-2014:</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«Столы подразделяют в зависимости: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-от области применения: общехирургические; специальные (ортопедические, нейрохирургические и т.п.); перевязочные.</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-от вида привода (степени механизации): с приводом (моторным, ножным, комбинированным); без привода».</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Описание объекта закупки содержит наименование закупаемого товара - «Стол операционный универсальный, электромеханический, с питанием от сети».</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В пункте 1 раздела «Требования к функциональным, техническим характеристикам и комплектации единицы товара» Описания объекта закупки содержится не наименование закупаемого товара, а наименование показателя, касающегося области применения закупаемого товара и вида привода - «Стол операционный </w:t>
      </w:r>
      <w:r>
        <w:rPr>
          <w:i/>
          <w:iCs/>
          <w:color w:val="000000"/>
          <w:spacing w:val="0"/>
          <w:w w:val="100"/>
          <w:position w:val="0"/>
          <w:shd w:val="clear" w:color="auto" w:fill="auto"/>
          <w:lang w:val="ru-RU" w:eastAsia="ru-RU" w:bidi="ru-RU"/>
        </w:rPr>
        <w:t>общехирургический</w:t>
      </w:r>
      <w:r>
        <w:rPr>
          <w:color w:val="000000"/>
          <w:spacing w:val="0"/>
          <w:w w:val="100"/>
          <w:position w:val="0"/>
          <w:shd w:val="clear" w:color="auto" w:fill="auto"/>
          <w:lang w:val="ru-RU" w:eastAsia="ru-RU" w:bidi="ru-RU"/>
        </w:rPr>
        <w:t xml:space="preserve"> с </w:t>
      </w:r>
      <w:r>
        <w:rPr>
          <w:i/>
          <w:iCs/>
          <w:color w:val="000000"/>
          <w:spacing w:val="0"/>
          <w:w w:val="100"/>
          <w:position w:val="0"/>
          <w:shd w:val="clear" w:color="auto" w:fill="auto"/>
          <w:lang w:val="ru-RU" w:eastAsia="ru-RU" w:bidi="ru-RU"/>
        </w:rPr>
        <w:t>моторным приводом</w:t>
      </w:r>
      <w:r>
        <w:rPr>
          <w:color w:val="000000"/>
          <w:spacing w:val="0"/>
          <w:w w:val="100"/>
          <w:position w:val="0"/>
          <w:shd w:val="clear" w:color="auto" w:fill="auto"/>
          <w:lang w:val="ru-RU" w:eastAsia="ru-RU" w:bidi="ru-RU"/>
        </w:rPr>
        <w:t xml:space="preserve"> для проведения широкого спектра хирургических операций», значение показателя - «наличие».</w:t>
      </w:r>
    </w:p>
    <w:p>
      <w:pPr>
        <w:pStyle w:val="Style2"/>
        <w:keepNext w:val="0"/>
        <w:keepLines w:val="0"/>
        <w:widowControl w:val="0"/>
        <w:numPr>
          <w:ilvl w:val="2"/>
          <w:numId w:val="11"/>
        </w:numPr>
        <w:shd w:val="clear" w:color="auto" w:fill="auto"/>
        <w:tabs>
          <w:tab w:pos="1009"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Довод заявителя относительно включения в описание объекта закупки в качестве обоснования необходимости использования требуемых заказчику показателей, требований, указания на ГОСТ Р 56107-2014, что, согласно позиции заявителя, не является надлежащим обоснованием его применения и нарушает пункт 2 части 1 статьи 33 Закона о контрактной системе, признается несостоятельным по следующим основаниям.</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пункту 2 части 1 статьи 33 Закона о контрактной системе описание объекта закупки должно содержать обоснование необходимости использования других показателей, требований, условных обозначений и терминологии в случае,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При этом Закон о контрактной системе требований к форме и содержанию обоснования включения дополнительных характеристик в описание объекта закупки не содержит.</w:t>
      </w:r>
    </w:p>
    <w:p>
      <w:pPr>
        <w:pStyle w:val="Style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В Коми УФАС России отсутствуют, заявителем в материалы жалобы не представлены доказательства того, что заказчиком при описании объекта закупки использованы показатели, требования, условные обозначения и терминология, касающиеся технических характеристик, функциональных характеристик </w:t>
      </w:r>
      <w:r>
        <w:rPr>
          <w:color w:val="000000"/>
          <w:spacing w:val="0"/>
          <w:w w:val="100"/>
          <w:position w:val="0"/>
          <w:shd w:val="clear" w:color="auto" w:fill="auto"/>
          <w:lang w:val="ru-RU" w:eastAsia="ru-RU" w:bidi="ru-RU"/>
        </w:rPr>
        <w:t>(потребительских свойств) товара и качественных характеристик объекта закупки, которые не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В действиях заказчика - Министерства здравоохранения Республики Коми при описании объекта закупки нарушение требований пункта 2 части 1 статьи 33 Закона о контрактной системе не установлено.</w:t>
      </w:r>
    </w:p>
    <w:p>
      <w:pPr>
        <w:pStyle w:val="Style2"/>
        <w:keepNext w:val="0"/>
        <w:keepLines w:val="0"/>
        <w:widowControl w:val="0"/>
        <w:numPr>
          <w:ilvl w:val="2"/>
          <w:numId w:val="11"/>
        </w:numPr>
        <w:shd w:val="clear" w:color="auto" w:fill="auto"/>
        <w:tabs>
          <w:tab w:pos="1014" w:val="left"/>
        </w:tabs>
        <w:bidi w:val="0"/>
        <w:spacing w:before="0" w:after="0" w:line="252" w:lineRule="auto"/>
        <w:ind w:left="0" w:right="0" w:firstLine="500"/>
        <w:jc w:val="both"/>
      </w:pPr>
      <w:r>
        <w:rPr>
          <w:color w:val="000000"/>
          <w:spacing w:val="0"/>
          <w:w w:val="100"/>
          <w:position w:val="0"/>
          <w:shd w:val="clear" w:color="auto" w:fill="auto"/>
          <w:lang w:val="ru-RU" w:eastAsia="ru-RU" w:bidi="ru-RU"/>
        </w:rPr>
        <w:t>Доводы заявителя относительно использования при описании объекта закупки позиции КТРУ, не соответствующей закупаемому товару, о намеренном уклонении заказчиком от использования подходящих позиций КТРУ, имеющих в своем составе требуемое заказчику описание объекта закупки (позиции КТРУ: 32.50.30.110- 00000128, 32.50.30.110-00000122, 32.50.30.110-00000134, 32.50.30.110-00000140), более соответствующих потребности Заказчика в части кода ОКПД2, признаются несостоятельными по следующим основаниям.</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Код позиции КТРУ: 32.50.30.110-00000128 «Стол операционный универсальный» содержит обязательные для применения характеристики: грузоподъемность (&gt;180 и &lt; 225 кг), тип, тип ложа, тип привода.</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Код позиции КТРУ 32.50.30.110-00000122 «Стол операционный универсальный» содержит обязательные для применения характеристики: грузоподъемность (&gt; 225 кг), тип, тип ложа, тип привода.</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Код позиции КТРУ 32.50.30.110-00000134 «Стол операционный универсальный» содержит обязательные для применения характеристики: грузоподъемность (&gt; 160 и &lt; 180 кг), тип, тип ложа, тип привода.</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Код позиции КТРУ 32.50.30.110-00000140 «Стол операционный универсальный» содержит обязательные для применения характеристики: грузоподъемность (&lt; 160 кг), тип, тип ложа, тип привода.</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Согласно устным доводам заказчика, приведенным в ходе заседания Комиссии Коми УФАС России по рассмотрению жалобы, описание позиций КТРУ, указанных заявителем, не удовлетворяют потребностям заказчика исходя из совокупных требований, предъявляемых заказчиком к закупаемому товару, в связи с чем заказчик использовал позицию КТРУ 32.50.30.110-00000022 «Стол операционный универсальный, электромеханический, с питанием от сети», позволяющую закупить требуемый заказчиком товар с учетом своих потребностей.</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Выбор кода по КТРУ, равно как и определение предмета закупки, является правом заказчика, которое обусловлено требованиями к закупаемому товару, необходимому заказчику.</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Комиссия Коми УФАС России не находит достаточных доказательств, что заказчиком использован ненадлежащий КТРУ.</w:t>
      </w:r>
    </w:p>
    <w:p>
      <w:pPr>
        <w:pStyle w:val="Style2"/>
        <w:keepNext w:val="0"/>
        <w:keepLines w:val="0"/>
        <w:widowControl w:val="0"/>
        <w:shd w:val="clear" w:color="auto" w:fill="auto"/>
        <w:bidi w:val="0"/>
        <w:spacing w:before="0" w:after="0" w:line="252" w:lineRule="auto"/>
        <w:ind w:left="0" w:right="0" w:firstLine="500"/>
        <w:jc w:val="both"/>
      </w:pPr>
      <w:r>
        <w:rPr>
          <w:color w:val="000000"/>
          <w:spacing w:val="0"/>
          <w:w w:val="100"/>
          <w:position w:val="0"/>
          <w:shd w:val="clear" w:color="auto" w:fill="auto"/>
          <w:lang w:val="ru-RU" w:eastAsia="ru-RU" w:bidi="ru-RU"/>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2"/>
        <w:keepNext w:val="0"/>
        <w:keepLines w:val="0"/>
        <w:widowControl w:val="0"/>
        <w:numPr>
          <w:ilvl w:val="2"/>
          <w:numId w:val="11"/>
        </w:numPr>
        <w:shd w:val="clear" w:color="auto" w:fill="auto"/>
        <w:tabs>
          <w:tab w:pos="1018" w:val="left"/>
        </w:tabs>
        <w:bidi w:val="0"/>
        <w:spacing w:before="0" w:after="0" w:line="252" w:lineRule="auto"/>
        <w:ind w:left="0" w:right="0" w:firstLine="500"/>
        <w:jc w:val="both"/>
      </w:pPr>
      <w:r>
        <w:rPr>
          <w:color w:val="000000"/>
          <w:spacing w:val="0"/>
          <w:w w:val="100"/>
          <w:position w:val="0"/>
          <w:shd w:val="clear" w:color="auto" w:fill="auto"/>
          <w:lang w:val="ru-RU" w:eastAsia="ru-RU" w:bidi="ru-RU"/>
        </w:rPr>
        <w:t xml:space="preserve">В дополнениях к жалобе заявитель указывает, наряду с прочим, что при закупке стола операционного универсального, электромеханического, с питанием от сети, заказчик включил в описание объекта закупки требование к питанию стола также и от аккумуляторной батареи, что, согласно доводам заявителя, свидетельствует о том, </w:t>
      </w:r>
      <w:r>
        <w:rPr>
          <w:color w:val="000000"/>
          <w:spacing w:val="0"/>
          <w:w w:val="100"/>
          <w:position w:val="0"/>
          <w:shd w:val="clear" w:color="auto" w:fill="auto"/>
          <w:lang w:val="ru-RU" w:eastAsia="ru-RU" w:bidi="ru-RU"/>
        </w:rPr>
        <w:t>что требование о питании объекта закупки от сети не является для заказчика определяющей характеристикой, в связи с чем заказчику надлежало применить иную позицию КТРУ.</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извещению о закупке к поставке требуется товар - стол операционный универсальный, электромеханический, с питанием от сети.</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описание объекта закупки заказчик включил также требования о наличии: аккумуляторной батареи (п. 23), индикации заряда аккумуляторной батареи на пульте панели стола (п. 23.1), электропитание: однофазная сеть переменного тока, напряжение 220 В, частота 50 Гц (п. 24).</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разделе 2 «Обоснование необходимости указания потребительских свойств, в том числе функциональных, технических, качественных, эксплуатационных характеристик товара, не предусмотренных КТРУ» содержится следующее обоснование технических и (функциональных показателей:</w:t>
      </w:r>
    </w:p>
    <w:p>
      <w:pPr>
        <w:pStyle w:val="Style2"/>
        <w:keepNext w:val="0"/>
        <w:keepLines w:val="0"/>
        <w:widowControl w:val="0"/>
        <w:numPr>
          <w:ilvl w:val="0"/>
          <w:numId w:val="13"/>
        </w:numPr>
        <w:shd w:val="clear" w:color="auto" w:fill="auto"/>
        <w:tabs>
          <w:tab w:pos="658" w:val="left"/>
        </w:tabs>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наличие аккумуляторной батареи - </w:t>
      </w:r>
      <w:r>
        <w:rPr>
          <w:i/>
          <w:iCs/>
          <w:color w:val="000000"/>
          <w:spacing w:val="0"/>
          <w:w w:val="100"/>
          <w:position w:val="0"/>
          <w:shd w:val="clear" w:color="auto" w:fill="auto"/>
          <w:lang w:val="ru-RU" w:eastAsia="ru-RU" w:bidi="ru-RU"/>
        </w:rPr>
        <w:t>для работы стола при отсутствии электропитания от сети</w:t>
      </w:r>
      <w:r>
        <w:rPr>
          <w:color w:val="000000"/>
          <w:spacing w:val="0"/>
          <w:w w:val="100"/>
          <w:position w:val="0"/>
          <w:shd w:val="clear" w:color="auto" w:fill="auto"/>
          <w:lang w:val="ru-RU" w:eastAsia="ru-RU" w:bidi="ru-RU"/>
        </w:rPr>
        <w:t xml:space="preserve"> (п. 23);</w:t>
      </w:r>
    </w:p>
    <w:p>
      <w:pPr>
        <w:pStyle w:val="Style2"/>
        <w:keepNext w:val="0"/>
        <w:keepLines w:val="0"/>
        <w:widowControl w:val="0"/>
        <w:numPr>
          <w:ilvl w:val="0"/>
          <w:numId w:val="13"/>
        </w:numPr>
        <w:shd w:val="clear" w:color="auto" w:fill="auto"/>
        <w:tabs>
          <w:tab w:pos="658"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наличие индикации заряда аккумуляторной батареи на пульте панели стола (п. 23.1) - для визуализации контроля заряда аккумуляторной батареи (п. 23.1);</w:t>
      </w:r>
    </w:p>
    <w:p>
      <w:pPr>
        <w:pStyle w:val="Style2"/>
        <w:keepNext w:val="0"/>
        <w:keepLines w:val="0"/>
        <w:widowControl w:val="0"/>
        <w:numPr>
          <w:ilvl w:val="0"/>
          <w:numId w:val="13"/>
        </w:numPr>
        <w:shd w:val="clear" w:color="auto" w:fill="auto"/>
        <w:tabs>
          <w:tab w:pos="658"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наличие электропитания: однофазная сеть переменного тока, напряжение 220 В, частота 50 Гц - ГОСТ Р 56107-2014 (п. 24).</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 учетом изложенного, довод заявителя относительно того, что требование о питании объекта закупки от сети не является для заказчика определяющей характеристикой, в связи с чем заказчику надлежало применить иную позицию КТРУ, признается несостоятельным.</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Коми УФАС России отсутствуют, заявителем в материалы жалобы не представлены бесспорные доказательства того, что заказчиком установлены какие-либо особые (нестандартные) или излишние требования к характеристикам поставляемого товара, ограничивающие количество участников закупки, которые не позволили участникам закупки надлежащим образом сформировать заявку на участие в ней, препятствовали каким-либо образом подаче заявки заявителем на участие в закупке.</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По протоколу подведения итогов определения поставщика от 10.03.2023 на участие в закупке подано 3 заявки, признанные аукционной комиссией соответствующими требованиям извещения о закупке.</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 учетом вышеизложенного, в оспариваемых действиях заказчика - Министерства здравоохранения Республики Коми при описании объекта закупки нарушений пункта 1 части 2 статьи 42, пунктов 1, 2 части 1, части 2 статьи 33 Закона о контрактной системе,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при установлении требований к содержанию и составу заявки на участие в закупке нарушений части 3 статьи 43 Закона о контрактной системе, не установлено.</w:t>
      </w:r>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По результатам проведения Комиссией Коми УФАС России внеплановой проверки нарушений Закона о контрактной системе не установлено.</w:t>
      </w:r>
    </w:p>
    <w:p>
      <w:pPr>
        <w:pStyle w:val="Style2"/>
        <w:keepNext w:val="0"/>
        <w:keepLines w:val="0"/>
        <w:widowControl w:val="0"/>
        <w:shd w:val="clear" w:color="auto" w:fill="auto"/>
        <w:bidi w:val="0"/>
        <w:spacing w:before="0" w:after="200" w:line="240" w:lineRule="auto"/>
        <w:ind w:left="0" w:right="0" w:firstLine="48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7"/>
        <w:keepNext/>
        <w:keepLines/>
        <w:widowControl w:val="0"/>
        <w:shd w:val="clear" w:color="auto" w:fill="auto"/>
        <w:bidi w:val="0"/>
        <w:spacing w:before="0" w:after="200" w:line="240" w:lineRule="auto"/>
        <w:ind w:left="0" w:right="0" w:firstLine="0"/>
        <w:jc w:val="center"/>
      </w:pPr>
      <w:bookmarkStart w:id="12" w:name="bookmark12"/>
      <w:r>
        <w:rPr>
          <w:color w:val="000000"/>
          <w:spacing w:val="0"/>
          <w:w w:val="100"/>
          <w:position w:val="0"/>
          <w:shd w:val="clear" w:color="auto" w:fill="auto"/>
          <w:lang w:val="ru-RU" w:eastAsia="ru-RU" w:bidi="ru-RU"/>
        </w:rPr>
        <w:t>РЕШИЛА:</w:t>
      </w:r>
      <w:bookmarkEnd w:id="12"/>
    </w:p>
    <w:p>
      <w:pPr>
        <w:pStyle w:val="Style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1. Признать жалобу необоснованной.</w:t>
      </w:r>
      <w:r>
        <w:br w:type="page"/>
      </w:r>
    </w:p>
    <w:p>
      <w:pPr>
        <w:pStyle w:val="Style2"/>
        <w:keepNext w:val="0"/>
        <w:keepLines w:val="0"/>
        <w:widowControl w:val="0"/>
        <w:shd w:val="clear" w:color="auto" w:fill="auto"/>
        <w:tabs>
          <w:tab w:pos="5798" w:val="left"/>
        </w:tabs>
        <w:bidi w:val="0"/>
        <w:spacing w:before="0" w:after="0" w:line="254" w:lineRule="auto"/>
        <w:ind w:left="0" w:right="0" w:firstLine="520"/>
        <w:jc w:val="both"/>
        <w:sectPr>
          <w:headerReference w:type="default" r:id="rId12"/>
          <w:footnotePr>
            <w:pos w:val="pageBottom"/>
            <w:numFmt w:val="decimal"/>
            <w:numRestart w:val="continuous"/>
          </w:footnotePr>
          <w:pgSz w:w="8400" w:h="11900"/>
          <w:pgMar w:top="708" w:right="814" w:bottom="1041" w:left="760" w:header="0" w:footer="613" w:gutter="0"/>
          <w:cols w:space="720"/>
          <w:noEndnote/>
          <w:rtlGutter w:val="0"/>
          <w:docGrid w:linePitch="360"/>
        </w:sectPr>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tab/>
        <w:t>/ ]</w:t>
      </w:r>
    </w:p>
    <w:p>
      <w:pPr>
        <w:pStyle w:val="Style2"/>
        <w:keepNext w:val="0"/>
        <w:keepLines w:val="0"/>
        <w:framePr w:w="1906" w:h="230" w:wrap="none" w:vAnchor="text" w:hAnchor="page" w:x="838" w:y="30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
        <w:keepNext w:val="0"/>
        <w:keepLines w:val="0"/>
        <w:framePr w:w="1325" w:h="216" w:wrap="none" w:vAnchor="text" w:hAnchor="page" w:x="766" w:y="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framePr w:w="1205" w:h="221" w:wrap="none" w:vAnchor="text" w:hAnchor="page" w:x="6310" w:y="30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Н.В/Гуревская</w:t>
      </w:r>
    </w:p>
    <w:p>
      <w:pPr>
        <w:pStyle w:val="Style2"/>
        <w:keepNext w:val="0"/>
        <w:keepLines w:val="0"/>
        <w:framePr w:w="1118" w:h="226" w:wrap="none" w:vAnchor="text" w:hAnchor="page" w:x="6430" w:y="9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А.В. Оверина</w:t>
      </w:r>
    </w:p>
    <w:p>
      <w:pPr>
        <w:pStyle w:val="Style2"/>
        <w:keepNext w:val="0"/>
        <w:keepLines w:val="0"/>
        <w:framePr w:w="1075" w:h="216" w:wrap="none" w:vAnchor="text" w:hAnchor="page" w:x="6507" w:y="15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 Растегаева</w:t>
      </w:r>
    </w:p>
    <w:p>
      <w:pPr>
        <w:widowControl w:val="0"/>
        <w:spacing w:line="360" w:lineRule="exact"/>
      </w:pPr>
      <w:r>
        <w:drawing>
          <wp:anchor distT="0" distB="0" distL="0" distR="0" simplePos="0" relativeHeight="62914697" behindDoc="1" locked="0" layoutInCell="1" allowOverlap="1">
            <wp:simplePos x="0" y="0"/>
            <wp:positionH relativeFrom="page">
              <wp:posOffset>3049270</wp:posOffset>
            </wp:positionH>
            <wp:positionV relativeFrom="paragraph">
              <wp:posOffset>12700</wp:posOffset>
            </wp:positionV>
            <wp:extent cx="1139825" cy="133477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1139825" cy="13347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661" w:line="1" w:lineRule="exact"/>
      </w:pPr>
    </w:p>
    <w:p>
      <w:pPr>
        <w:widowControl w:val="0"/>
        <w:spacing w:line="1" w:lineRule="exact"/>
      </w:pPr>
    </w:p>
    <w:sectPr>
      <w:footnotePr>
        <w:pos w:val="pageBottom"/>
        <w:numFmt w:val="decimal"/>
        <w:numRestart w:val="continuous"/>
      </w:footnotePr>
      <w:type w:val="continuous"/>
      <w:pgSz w:w="8400" w:h="11900"/>
      <w:pgMar w:top="772" w:right="1015" w:bottom="772" w:left="569"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2548255</wp:posOffset>
              </wp:positionH>
              <wp:positionV relativeFrom="page">
                <wp:posOffset>141605</wp:posOffset>
              </wp:positionV>
              <wp:extent cx="152400" cy="64135"/>
              <wp:wrapNone/>
              <wp:docPr id="3" name="Shape 3"/>
              <a:graphic xmlns:a="http://schemas.openxmlformats.org/drawingml/2006/main">
                <a:graphicData uri="http://schemas.microsoft.com/office/word/2010/wordprocessingShape">
                  <wps:wsp>
                    <wps:cNvSpPr txBox="1"/>
                    <wps:spPr>
                      <a:xfrm>
                        <a:ext cx="152400" cy="641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w:t>
                          </w:r>
                          <w:fldSimple w:instr=" PAGE \* MERGEFORMAT ">
                            <w:r>
                              <w:rPr>
                                <w:color w:val="000000"/>
                                <w:spacing w:val="0"/>
                                <w:w w:val="100"/>
                                <w:position w:val="0"/>
                                <w:sz w:val="14"/>
                                <w:szCs w:val="14"/>
                                <w:shd w:val="clear" w:color="auto" w:fill="auto"/>
                                <w:lang w:val="ru-RU" w:eastAsia="ru-RU" w:bidi="ru-RU"/>
                              </w:rPr>
                              <w:t>#</w:t>
                            </w:r>
                          </w:fldSimple>
                          <w:r>
                            <w:rPr>
                              <w:color w:val="000000"/>
                              <w:spacing w:val="0"/>
                              <w:w w:val="100"/>
                              <w:position w:val="0"/>
                              <w:sz w:val="14"/>
                              <w:szCs w:val="14"/>
                              <w:shd w:val="clear" w:color="auto" w:fill="auto"/>
                              <w:lang w:val="ru-RU" w:eastAsia="ru-RU" w:bidi="ru-RU"/>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00.65000000000001pt;margin-top:11.15pt;width:12.pt;height:5.0499999999999998pt;z-index:-18874406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w:t>
                    </w:r>
                    <w:fldSimple w:instr=" PAGE \* MERGEFORMAT ">
                      <w:r>
                        <w:rPr>
                          <w:color w:val="000000"/>
                          <w:spacing w:val="0"/>
                          <w:w w:val="100"/>
                          <w:position w:val="0"/>
                          <w:sz w:val="14"/>
                          <w:szCs w:val="14"/>
                          <w:shd w:val="clear" w:color="auto" w:fill="auto"/>
                          <w:lang w:val="ru-RU" w:eastAsia="ru-RU" w:bidi="ru-RU"/>
                        </w:rPr>
                        <w:t>#</w:t>
                      </w:r>
                    </w:fldSimple>
                    <w:r>
                      <w:rPr>
                        <w:color w:val="000000"/>
                        <w:spacing w:val="0"/>
                        <w:w w:val="100"/>
                        <w:position w:val="0"/>
                        <w:sz w:val="14"/>
                        <w:szCs w:val="14"/>
                        <w:shd w:val="clear" w:color="auto" w:fill="auto"/>
                        <w:lang w:val="ru-RU" w:eastAsia="ru-RU" w:bidi="ru-RU"/>
                      </w:rPr>
                      <w:t>-</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2548255</wp:posOffset>
              </wp:positionH>
              <wp:positionV relativeFrom="page">
                <wp:posOffset>141605</wp:posOffset>
              </wp:positionV>
              <wp:extent cx="152400" cy="64135"/>
              <wp:wrapNone/>
              <wp:docPr id="9" name="Shape 9"/>
              <a:graphic xmlns:a="http://schemas.openxmlformats.org/drawingml/2006/main">
                <a:graphicData uri="http://schemas.microsoft.com/office/word/2010/wordprocessingShape">
                  <wps:wsp>
                    <wps:cNvSpPr txBox="1"/>
                    <wps:spPr>
                      <a:xfrm>
                        <a:ext cx="152400" cy="641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w:t>
                          </w:r>
                          <w:fldSimple w:instr=" PAGE \* MERGEFORMAT ">
                            <w:r>
                              <w:rPr>
                                <w:color w:val="000000"/>
                                <w:spacing w:val="0"/>
                                <w:w w:val="100"/>
                                <w:position w:val="0"/>
                                <w:sz w:val="14"/>
                                <w:szCs w:val="14"/>
                                <w:shd w:val="clear" w:color="auto" w:fill="auto"/>
                                <w:lang w:val="ru-RU" w:eastAsia="ru-RU" w:bidi="ru-RU"/>
                              </w:rPr>
                              <w:t>#</w:t>
                            </w:r>
                          </w:fldSimple>
                          <w:r>
                            <w:rPr>
                              <w:color w:val="000000"/>
                              <w:spacing w:val="0"/>
                              <w:w w:val="100"/>
                              <w:position w:val="0"/>
                              <w:sz w:val="14"/>
                              <w:szCs w:val="14"/>
                              <w:shd w:val="clear" w:color="auto" w:fill="auto"/>
                              <w:lang w:val="ru-RU" w:eastAsia="ru-RU" w:bidi="ru-RU"/>
                            </w:rPr>
                            <w:t>-</w:t>
                          </w:r>
                        </w:p>
                      </w:txbxContent>
                    </wps:txbx>
                    <wps:bodyPr wrap="none" lIns="0" tIns="0" rIns="0" bIns="0">
                      <a:spAutoFit/>
                    </wps:bodyPr>
                  </wps:wsp>
                </a:graphicData>
              </a:graphic>
            </wp:anchor>
          </w:drawing>
        </mc:Choice>
        <mc:Fallback>
          <w:pict>
            <v:shape id="_x0000_s1035" type="#_x0000_t202" style="position:absolute;margin-left:200.65000000000001pt;margin-top:11.15pt;width:12.pt;height:5.0499999999999998pt;z-index:-18874406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w:t>
                    </w:r>
                    <w:fldSimple w:instr=" PAGE \* MERGEFORMAT ">
                      <w:r>
                        <w:rPr>
                          <w:color w:val="000000"/>
                          <w:spacing w:val="0"/>
                          <w:w w:val="100"/>
                          <w:position w:val="0"/>
                          <w:sz w:val="14"/>
                          <w:szCs w:val="14"/>
                          <w:shd w:val="clear" w:color="auto" w:fill="auto"/>
                          <w:lang w:val="ru-RU" w:eastAsia="ru-RU" w:bidi="ru-RU"/>
                        </w:rPr>
                        <w:t>#</w:t>
                      </w:r>
                    </w:fldSimple>
                    <w:r>
                      <w:rPr>
                        <w:color w:val="000000"/>
                        <w:spacing w:val="0"/>
                        <w:w w:val="100"/>
                        <w:position w:val="0"/>
                        <w:sz w:val="14"/>
                        <w:szCs w:val="14"/>
                        <w:shd w:val="clear" w:color="auto" w:fill="auto"/>
                        <w:lang w:val="ru-RU" w:eastAsia="ru-RU" w:bidi="ru-RU"/>
                      </w:rPr>
                      <w:t>-</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2548255</wp:posOffset>
              </wp:positionH>
              <wp:positionV relativeFrom="page">
                <wp:posOffset>141605</wp:posOffset>
              </wp:positionV>
              <wp:extent cx="152400" cy="64135"/>
              <wp:wrapNone/>
              <wp:docPr id="11" name="Shape 11"/>
              <a:graphic xmlns:a="http://schemas.openxmlformats.org/drawingml/2006/main">
                <a:graphicData uri="http://schemas.microsoft.com/office/word/2010/wordprocessingShape">
                  <wps:wsp>
                    <wps:cNvSpPr txBox="1"/>
                    <wps:spPr>
                      <a:xfrm>
                        <a:ext cx="152400" cy="641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w:t>
                          </w:r>
                          <w:fldSimple w:instr=" PAGE \* MERGEFORMAT ">
                            <w:r>
                              <w:rPr>
                                <w:color w:val="000000"/>
                                <w:spacing w:val="0"/>
                                <w:w w:val="100"/>
                                <w:position w:val="0"/>
                                <w:sz w:val="14"/>
                                <w:szCs w:val="14"/>
                                <w:shd w:val="clear" w:color="auto" w:fill="auto"/>
                                <w:lang w:val="ru-RU" w:eastAsia="ru-RU" w:bidi="ru-RU"/>
                              </w:rPr>
                              <w:t>#</w:t>
                            </w:r>
                          </w:fldSimple>
                          <w:r>
                            <w:rPr>
                              <w:color w:val="000000"/>
                              <w:spacing w:val="0"/>
                              <w:w w:val="100"/>
                              <w:position w:val="0"/>
                              <w:sz w:val="14"/>
                              <w:szCs w:val="14"/>
                              <w:shd w:val="clear" w:color="auto" w:fill="auto"/>
                              <w:lang w:val="ru-RU" w:eastAsia="ru-RU" w:bidi="ru-RU"/>
                            </w:rPr>
                            <w:t>-</w:t>
                          </w:r>
                        </w:p>
                      </w:txbxContent>
                    </wps:txbx>
                    <wps:bodyPr wrap="none" lIns="0" tIns="0" rIns="0" bIns="0">
                      <a:spAutoFit/>
                    </wps:bodyPr>
                  </wps:wsp>
                </a:graphicData>
              </a:graphic>
            </wp:anchor>
          </w:drawing>
        </mc:Choice>
        <mc:Fallback>
          <w:pict>
            <v:shape id="_x0000_s1037" type="#_x0000_t202" style="position:absolute;margin-left:200.65000000000001pt;margin-top:11.15pt;width:12.pt;height:5.0499999999999998pt;z-index:-18874405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w:t>
                    </w:r>
                    <w:fldSimple w:instr=" PAGE \* MERGEFORMAT ">
                      <w:r>
                        <w:rPr>
                          <w:color w:val="000000"/>
                          <w:spacing w:val="0"/>
                          <w:w w:val="100"/>
                          <w:position w:val="0"/>
                          <w:sz w:val="14"/>
                          <w:szCs w:val="14"/>
                          <w:shd w:val="clear" w:color="auto" w:fill="auto"/>
                          <w:lang w:val="ru-RU" w:eastAsia="ru-RU" w:bidi="ru-RU"/>
                        </w:rPr>
                        <w:t>#</w:t>
                      </w:r>
                    </w:fldSimple>
                    <w:r>
                      <w:rPr>
                        <w:color w:val="000000"/>
                        <w:spacing w:val="0"/>
                        <w:w w:val="100"/>
                        <w:position w:val="0"/>
                        <w:sz w:val="14"/>
                        <w:szCs w:val="14"/>
                        <w:shd w:val="clear" w:color="auto" w:fill="auto"/>
                        <w:lang w:val="ru-RU" w:eastAsia="ru-RU" w:bidi="ru-RU"/>
                      </w:rPr>
                      <w:t>-</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ru-RU" w:eastAsia="ru-RU" w:bidi="ru-RU"/>
      </w:rPr>
    </w:lvl>
  </w:abstractNum>
  <w:abstractNum w:abstractNumId="10">
    <w:multiLevelType w:val="multilevel"/>
    <w:lvl w:ilvl="0">
      <w:start w:val="2"/>
      <w:numFmt w:val="decimal"/>
      <w:lvlText w:val="%1."/>
    </w:lvl>
    <w:lvl w:ilvl="1">
      <w:start w:val="2"/>
      <w:numFmt w:val="decimal"/>
      <w:lvlText w:val="%1.%2."/>
    </w:lvl>
    <w:lvl w:ilvl="2">
      <w:start w:val="1"/>
      <w:numFmt w:val="decimal"/>
      <w:lvlText w:val="%1.%2.%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17"/>
      <w:szCs w:val="17"/>
      <w:u w:val="none"/>
    </w:rPr>
  </w:style>
  <w:style w:type="character" w:customStyle="1" w:styleId="CharStyle5">
    <w:name w:val="Основной текст (2)_"/>
    <w:basedOn w:val="DefaultParagraphFont"/>
    <w:link w:val="Style4"/>
    <w:rPr>
      <w:rFonts w:ascii="Arial" w:eastAsia="Arial" w:hAnsi="Arial" w:cs="Arial"/>
      <w:b w:val="0"/>
      <w:bCs w:val="0"/>
      <w:i/>
      <w:iCs/>
      <w:smallCaps w:val="0"/>
      <w:strike w:val="0"/>
      <w:sz w:val="60"/>
      <w:szCs w:val="60"/>
      <w:u w:val="none"/>
    </w:rPr>
  </w:style>
  <w:style w:type="character" w:customStyle="1" w:styleId="CharStyle8">
    <w:name w:val="Заголовок №3_"/>
    <w:basedOn w:val="DefaultParagraphFont"/>
    <w:link w:val="Style7"/>
    <w:rPr>
      <w:rFonts w:ascii="Times New Roman" w:eastAsia="Times New Roman" w:hAnsi="Times New Roman" w:cs="Times New Roman"/>
      <w:b/>
      <w:bCs/>
      <w:i w:val="0"/>
      <w:iCs w:val="0"/>
      <w:smallCaps w:val="0"/>
      <w:strike w:val="0"/>
      <w:sz w:val="17"/>
      <w:szCs w:val="17"/>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19"/>
      <w:szCs w:val="19"/>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Подпись к таблице_"/>
    <w:basedOn w:val="DefaultParagraphFont"/>
    <w:link w:val="Style15"/>
    <w:rPr>
      <w:rFonts w:ascii="Times New Roman" w:eastAsia="Times New Roman" w:hAnsi="Times New Roman" w:cs="Times New Roman"/>
      <w:b w:val="0"/>
      <w:bCs w:val="0"/>
      <w:i w:val="0"/>
      <w:iCs w:val="0"/>
      <w:smallCaps w:val="0"/>
      <w:strike w:val="0"/>
      <w:sz w:val="17"/>
      <w:szCs w:val="17"/>
      <w:u w:val="none"/>
    </w:rPr>
  </w:style>
  <w:style w:type="character" w:customStyle="1" w:styleId="CharStyle18">
    <w:name w:val="Другое_"/>
    <w:basedOn w:val="DefaultParagraphFont"/>
    <w:link w:val="Style17"/>
    <w:rPr>
      <w:rFonts w:ascii="Times New Roman" w:eastAsia="Times New Roman" w:hAnsi="Times New Roman" w:cs="Times New Roman"/>
      <w:b w:val="0"/>
      <w:bCs w:val="0"/>
      <w:i w:val="0"/>
      <w:iCs w:val="0"/>
      <w:smallCaps w:val="0"/>
      <w:strike w:val="0"/>
      <w:sz w:val="17"/>
      <w:szCs w:val="17"/>
      <w:u w:val="none"/>
    </w:rPr>
  </w:style>
  <w:style w:type="character" w:customStyle="1" w:styleId="CharStyle24">
    <w:name w:val="Заголовок №1_"/>
    <w:basedOn w:val="DefaultParagraphFont"/>
    <w:link w:val="Style23"/>
    <w:rPr>
      <w:b w:val="0"/>
      <w:bCs w:val="0"/>
      <w:i/>
      <w:iCs/>
      <w:smallCaps w:val="0"/>
      <w:strike w:val="0"/>
      <w:sz w:val="20"/>
      <w:szCs w:val="2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17"/>
      <w:szCs w:val="17"/>
      <w:u w:val="none"/>
    </w:rPr>
  </w:style>
  <w:style w:type="paragraph" w:customStyle="1" w:styleId="Style4">
    <w:name w:val="Основной текст (2)"/>
    <w:basedOn w:val="Normal"/>
    <w:link w:val="CharStyle5"/>
    <w:pPr>
      <w:widowControl w:val="0"/>
      <w:shd w:val="clear" w:color="auto" w:fill="auto"/>
    </w:pPr>
    <w:rPr>
      <w:rFonts w:ascii="Arial" w:eastAsia="Arial" w:hAnsi="Arial" w:cs="Arial"/>
      <w:b w:val="0"/>
      <w:bCs w:val="0"/>
      <w:i/>
      <w:iCs/>
      <w:smallCaps w:val="0"/>
      <w:strike w:val="0"/>
      <w:sz w:val="60"/>
      <w:szCs w:val="60"/>
      <w:u w:val="none"/>
    </w:rPr>
  </w:style>
  <w:style w:type="paragraph" w:customStyle="1" w:styleId="Style7">
    <w:name w:val="Заголовок №3"/>
    <w:basedOn w:val="Normal"/>
    <w:link w:val="CharStyle8"/>
    <w:pPr>
      <w:widowControl w:val="0"/>
      <w:shd w:val="clear" w:color="auto" w:fill="auto"/>
      <w:spacing w:after="180" w:line="254" w:lineRule="auto"/>
      <w:ind w:left="3020"/>
      <w:jc w:val="right"/>
      <w:outlineLvl w:val="2"/>
    </w:pPr>
    <w:rPr>
      <w:rFonts w:ascii="Times New Roman" w:eastAsia="Times New Roman" w:hAnsi="Times New Roman" w:cs="Times New Roman"/>
      <w:b/>
      <w:bCs/>
      <w:i w:val="0"/>
      <w:iCs w:val="0"/>
      <w:smallCaps w:val="0"/>
      <w:strike w:val="0"/>
      <w:sz w:val="17"/>
      <w:szCs w:val="17"/>
      <w:u w:val="none"/>
    </w:rPr>
  </w:style>
  <w:style w:type="paragraph" w:customStyle="1" w:styleId="Style10">
    <w:name w:val="Заголовок №2"/>
    <w:basedOn w:val="Normal"/>
    <w:link w:val="CharStyle11"/>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19"/>
      <w:szCs w:val="19"/>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Подпись к таблице"/>
    <w:basedOn w:val="Normal"/>
    <w:link w:val="CharStyle16"/>
    <w:pPr>
      <w:widowControl w:val="0"/>
      <w:shd w:val="clear" w:color="auto" w:fill="auto"/>
      <w:spacing w:line="252" w:lineRule="auto"/>
      <w:ind w:firstLine="480"/>
    </w:pPr>
    <w:rPr>
      <w:rFonts w:ascii="Times New Roman" w:eastAsia="Times New Roman" w:hAnsi="Times New Roman" w:cs="Times New Roman"/>
      <w:b w:val="0"/>
      <w:bCs w:val="0"/>
      <w:i w:val="0"/>
      <w:iCs w:val="0"/>
      <w:smallCaps w:val="0"/>
      <w:strike w:val="0"/>
      <w:sz w:val="17"/>
      <w:szCs w:val="17"/>
      <w:u w:val="none"/>
    </w:rPr>
  </w:style>
  <w:style w:type="paragraph" w:customStyle="1" w:styleId="Style17">
    <w:name w:val="Другое"/>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17"/>
      <w:szCs w:val="17"/>
      <w:u w:val="none"/>
    </w:rPr>
  </w:style>
  <w:style w:type="paragraph" w:customStyle="1" w:styleId="Style23">
    <w:name w:val="Заголовок №1"/>
    <w:basedOn w:val="Normal"/>
    <w:link w:val="CharStyle24"/>
    <w:pPr>
      <w:widowControl w:val="0"/>
      <w:shd w:val="clear" w:color="auto" w:fill="auto"/>
      <w:jc w:val="center"/>
      <w:outlineLvl w:val="0"/>
    </w:pPr>
    <w:rPr>
      <w:b w:val="0"/>
      <w:bCs w:val="0"/>
      <w:i/>
      <w:iCs/>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image" Target="media/image2.jpeg"/><Relationship Id="rId14"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