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90" w:right="532" w:bottom="650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mc:AlternateContent>
          <mc:Choice Requires="wps">
            <w:drawing>
              <wp:anchor distT="0" distB="1584960" distL="407035" distR="354965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25400</wp:posOffset>
                </wp:positionV>
                <wp:extent cx="2045335" cy="59436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594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0.049999999999997pt;margin-top:2.pt;width:161.05000000000001pt;height:46.800000000000004pt;z-index:-125829375;mso-wrap-distance-left:32.049999999999997pt;mso-wrap-distance-right:27.949999999999999pt;mso-wrap-distance-bottom:124.8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731520" distB="0" distL="114300" distR="114300" simplePos="0" relativeHeight="125829380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756920</wp:posOffset>
                </wp:positionV>
                <wp:extent cx="2578735" cy="144780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447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1о777г Гах.цоу.гп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6.03.2023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№ 11551/23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pt;margin-top:59.600000000000001pt;width:203.05000000000001pt;height:114.pt;z-index:-125829373;mso-wrap-distance-left:9.pt;mso-wrap-distance-top:57.6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1о777г Гах.цоу.гп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6.03.2023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№ 11551/23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РТУ МИРЭА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пр-кт Вернадского, 78, г. Москва, 119454, 1епдегкот@тнеа.ги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Лымарев О.Л.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Ленина, д.45, кв. 2, Ростовская обл., 347716, о1ед.1ута1&lt;л@11М.П1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Кожевническая 14, стр. 5, г. Москва,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115114, тГо@ГО8екогд.га, ко@го8екогд.ги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077/06/106-3209/2023 о нарушении</w:t>
        <w:br/>
        <w:t>законодательства о контрактной системе</w:t>
        <w:br/>
        <w:t>13.03.2023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 УМ «О внесении изменений в правовые акты города Москвы» и предупреждения распространения в городе Москве инфекции, вызванной коронавирусом 2019-пСоУ, 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РТУ МИРЭА: Ю.Ф. Гербер (дов. № 147/22 от 15.07.2022),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Лымарев О.Л.: О.Л. Лымарева,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Лымарев О.Л. (далее — Заявитель) на действия РТУ МИРЭА (далее — Заказчик) при проведении электронного аукциона на право заключения государственного контракта на оказание услуг по комплексной уборке помещений зданий РТУ МИРЭА, расположенных по адресам: г. Москва, пр-т Вернадского, д. 86; г. Москва, пр-т Вернадского, д. 86, стр. 2 (Технопарк «Альтаир»); ул. Малая Пироговская, д. 1, стр. 5 и стр. 8; ул. Усачева, д. 7/1 (Закупка №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■1111111111111111111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0373100029523000026) (далее —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комиссии по осуществлению закупок Заказчика (далее—комиссия Заказчика), выразившиеся в отклонении заявки Заявителя.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письмом Московского УФАС России от 09.03.2023 № НП/10201/23,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06.03.2023 №ИЭА1 заявка Заявителя (идентификационный номер заявки 3) отклонена на следующем основании: «п.8 ч.12 ст.48 №44-ФЗ - Выявления недостоверной информации, содержащейся в заявке на участие в закупке. Участник закупки предоставил недостоверную информацию в заявке на участие в закупке, а именно: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в соответствии с п. «п» ч. 1 ст.43 заявка на участие в закупке должна содержать 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 закупки в составе заявки приложил 2 файла с реквизитами. Информация в файле «Банковские реквизиты» является недостоверной, поскольку противоречит информации в файле «04. 2 часть.досх»».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п.1, п.3 ч.2 ст.42 Закона о контрактной системе, извещение об осуществлении закупки должно содержать описание объекта закупки в соответствии со ст.33 Закона о контрактной системе,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составу заявки на участие в электронном аукционе установлены ст.43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пп.«п» п.1 ч.1 ст.43 Закона о контрактной системе, для участия в конкурентном способе заявка на участие в закупке, если иное не предусмотрено Законом о контрактной системе, должна содержать 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законодательством Российской Федерации такой счет открывается после заключения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п.1.4 «Требований к содержанию, составу заявки на участие в закупке и инструкции по ее заполнению» Заказчиком установлено требование о том, что для участия в конкурентном способе заявка на участие в закупке должна содержать, в том числе: «Реквизиты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Заявитель представил документ «04. 2 часть.досх», в котором содержатся банковские реквизиты счета, используемые для перечисления денежных средств в качестве оплаты выполненной работы.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Заявитель в составе заявки приложил 2 файла с указанием банковских реквизитов, при этом при сравнении данных реквизитов в файлах «Банковские реквизиты» и «04. 2 часть.досх» Заказчик определил, что представленные банковские реквизиты противоречат друг другу.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 мнению комиссии Заказчика, в составе заявки Заявителем предоставлена недостоверная информация относительно банковских реквизитов.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в составе заявки ИП Лымарев О.Л. предоставил документ «04. 2 часть.досх» с указанием банковских реквизитов счета в соответствии с требованиями извещения, при этом второй файл «Банковские реквизиты» был предоставлен электронной площадкой в силу внутренних алгоритмов системы.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представитель Заявителя добавил, что оба счета указанные в двух файлах являются достоверными и действующими на момент подачи заявки.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Заявитель в составе заявки предоставил все необходимые документы в соответствии с требованиями извещения об осуществлении закупки, при этом направленные оператором электронной площадки документы Заказчику, содержащие отличную от представленной Заявителем информации, не могут свидетельствовать о наличии недостоверной информации, содержащейся в заявке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Комиссия Управления также считает необходимым отметить, что под недостоверными сведениями следует понимать сведения, не соответствующие действительности.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очередь, исходя из правовой позиции Верховного Суда Российской Федерации, изложенной в постановлении от 24.02.2005 № 3 «О судебной практике по делам о защите чести и достоинства граждан, а также деловой репутации граждан и юридических лиц», под не соответствующими действительности сведениями понимаются утверждения о фактах или событиях, которые не имели места в реальности во время, к которому относятся оспариваемые сведения (п. 7).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предоставленное заказчику право отклонить поданную заявку в случае обнаружения в ней недостоверных сведений свидетельствует о том, что располагать такой информацией заказчик должен непосредственно на момент принятия соответствующего решения, причем располагать именно доказательствами такой недостоверности, но не руководствоваться предположениями.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как следует из материалов дела, поданная Заявителем заявка в части оспариваемых сведений требованиям документации о закупке соответствовала. Каких-либо оснований сомневаться в достоверности представленных в них сведений в контексте ч. 5 ст. 10 Гражданского кодекса Российской Федерации (ГК РФ) (в силу которой добросовестность участников гражданских правоотношений и разумность их действий предполагаются) у Заказчика не имелось, неопровержимыми доказательствами недостоверности таких сведений последний не располагал. Доказательств обратного представителем Заказчика не представлено.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целях соблюдения баланса частных и публичных интересов (на необходимость соблюдения которого указал Конституционный Суд Российской Федерации в постановлении от 29.03.2011 № 2-П) и принципа стабильности публичных правоотношений, но также и принципов добросовестной реализации прав и законных интересов (ч. 3 ст. 1 ГК РФ), недопустимости извлечения преимуществ из своего незаконного или недобросовестного поведения (ч. 4 ст. 1 ГК РФ), недопустимости злоупотребления правом (ч. 1 ст. 10 ГК РФ) для принятия решения об отказе участнику закупки в допуске к ней заказчику необходимо располагать письменным документальным подтверждением наличия в составе заявки такого участника недостоверной информации.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 же время, как следует из материалов дела в настоящем случае, такого подтверждения в материалы дела представлено не было, а потому и правовых оснований к отклонению заявки участника у комиссии Заказчика не имелось, вопреки утверждению представителя Заказчика об обратном.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1-8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3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том, что решение комиссии Заказчика о признании заявки ИП Лымарев О.Л. несоответствующей по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основанию, отраженному в протоколе подведения итогов определения поставщика (подрядчика, исполнителя), является неправомерным и принято в нарушение пп. «а» п.1 ч.5 ст.49 Закона о контрактной системе, что содержит признаки состава административного правонарушения, ответственность за которое предусмотрена ч. 2 ст. 7.30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Лымарев О.Л. на действия комиссии РТУ МИРЭА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комиссии Заказчика нарушение пп. «а» п.1 ч.5 ст.49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3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 (Арбитражном суде г. Москвы) в порядке, установленном гл. 24 АПК РФ, в течение 3(трех) месяцев с даты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98" w:right="531" w:bottom="966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1575435" distL="0" distR="0" simplePos="0" relativeHeight="125829382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700000000000003pt;margin-top:10.pt;width:145.70000000000002pt;height:19.699999999999999pt;z-index:-125829371;mso-wrap-distance-left:0;mso-wrap-distance-top:10.pt;mso-wrap-distance-right:0;mso-wrap-distance-bottom:124.0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1219200" distL="0" distR="1789430" simplePos="0" relativeHeight="125829384" behindDoc="0" locked="0" layoutInCell="1" allowOverlap="1">
            <wp:simplePos x="0" y="0"/>
            <wp:positionH relativeFrom="page">
              <wp:posOffset>3103880</wp:posOffset>
            </wp:positionH>
            <wp:positionV relativeFrom="paragraph">
              <wp:posOffset>196850</wp:posOffset>
            </wp:positionV>
            <wp:extent cx="353695" cy="53657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599440</wp:posOffset>
                </wp:positionV>
                <wp:extent cx="1280160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0.90000000000003pt;margin-top:47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288290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30000000000001pt;margin-top:22.69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55015" distB="899160" distL="0" distR="0" simplePos="0" relativeHeight="125829385" behindDoc="0" locked="0" layoutInCell="1" allowOverlap="1">
                <wp:simplePos x="0" y="0"/>
                <wp:positionH relativeFrom="page">
                  <wp:posOffset>3119120</wp:posOffset>
                </wp:positionH>
                <wp:positionV relativeFrom="paragraph">
                  <wp:posOffset>755015</wp:posOffset>
                </wp:positionV>
                <wp:extent cx="2209800" cy="2984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0980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656565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Миронова Елена Александровна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23232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00Е9СЕАА6ОО6САО20В424А9502ЕС296Е8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;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65656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color w:val="23232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22.12.2022 </w:t>
                            </w:r>
                            <w:r>
                              <w:rPr>
                                <w:color w:val="7F7F7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color w:val="65656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16.03.2024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59999999999999pt;margin-top:59.450000000000003pt;width:174.pt;height:23.5pt;z-index:-125829368;mso-wrap-distance-left:0;mso-wrap-distance-top:59.450000000000003pt;mso-wrap-distance-right:0;mso-wrap-distance-bottom:70.799999999999997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656565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Миронова Елена Александровна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23232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00Е9СЕАА6ОО6САО20В424А9502ЕС296Е8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;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656565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</w:t>
                      </w:r>
                      <w:r>
                        <w:rPr>
                          <w:color w:val="23232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22.12.2022 </w:t>
                      </w:r>
                      <w:r>
                        <w:rPr>
                          <w:color w:val="7F7F7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 </w:t>
                      </w:r>
                      <w:r>
                        <w:rPr>
                          <w:color w:val="656565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16.03.2024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09040" distB="493395" distL="0" distR="0" simplePos="0" relativeHeight="125829387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1209040</wp:posOffset>
                </wp:positionV>
                <wp:extent cx="137160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700000000000003pt;margin-top:95.200000000000003pt;width:108.pt;height:19.699999999999999pt;z-index:-125829366;mso-wrap-distance-left:0;mso-wrap-distance-top:95.200000000000003pt;mso-wrap-distance-right:0;mso-wrap-distance-bottom:38.8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47495" distB="0" distL="0" distR="1789430" simplePos="0" relativeHeight="125829389" behindDoc="0" locked="0" layoutInCell="1" allowOverlap="1">
            <wp:simplePos x="0" y="0"/>
            <wp:positionH relativeFrom="page">
              <wp:posOffset>3091815</wp:posOffset>
            </wp:positionH>
            <wp:positionV relativeFrom="paragraph">
              <wp:posOffset>1547495</wp:posOffset>
            </wp:positionV>
            <wp:extent cx="365760" cy="40830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1645285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30000000000001pt;margin-top:129.55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934720" distB="219075" distL="0" distR="0" simplePos="0" relativeHeight="125829390" behindDoc="0" locked="0" layoutInCell="1" allowOverlap="1">
                <wp:simplePos x="0" y="0"/>
                <wp:positionH relativeFrom="page">
                  <wp:posOffset>6036310</wp:posOffset>
                </wp:positionH>
                <wp:positionV relativeFrom="paragraph">
                  <wp:posOffset>934720</wp:posOffset>
                </wp:positionV>
                <wp:extent cx="1182370" cy="7988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7988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Э.З. Гугава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75.30000000000001pt;margin-top:73.600000000000009pt;width:93.100000000000009pt;height:62.899999999999999pt;z-index:-125829363;mso-wrap-distance-left:0;mso-wrap-distance-top:73.600000000000009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Э.З. Гугава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09ЕЭ83ВВЕ066797179АЕ8426ОЗЕСЕ5ВЕВ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8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right="0" w:firstLine="0"/>
        <w:jc w:val="left"/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10.01.2022 по </w:t>
      </w:r>
      <w:r>
        <w:rPr>
          <w:color w:val="7F7F7F"/>
          <w:spacing w:val="0"/>
          <w:w w:val="100"/>
          <w:position w:val="0"/>
          <w:shd w:val="clear" w:color="auto" w:fill="auto"/>
          <w:lang w:val="ru-RU" w:eastAsia="ru-RU" w:bidi="ru-RU"/>
        </w:rPr>
        <w:t>10.04.2023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92" behindDoc="0" locked="0" layoutInCell="1" allowOverlap="1">
            <wp:simplePos x="0" y="0"/>
            <wp:positionH relativeFrom="page">
              <wp:posOffset>3091815</wp:posOffset>
            </wp:positionH>
            <wp:positionV relativeFrom="paragraph">
              <wp:posOffset>50800</wp:posOffset>
            </wp:positionV>
            <wp:extent cx="365760" cy="54864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462280</wp:posOffset>
                </wp:positionV>
                <wp:extent cx="1280160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0.90000000000003pt;margin-top:36.399999999999999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151130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30000000000001pt;margin-top:11.9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79ЕЗЕ4О372В53АЕ5В9427АО21ЕА4916В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26.09.2022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>по 20.12.2023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10113010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2023-12834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5pt;margin-top:796.30000000000007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2023-12834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2023-12834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7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2023-12834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496570</wp:posOffset>
              </wp:positionV>
              <wp:extent cx="6413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25pt;margin-top:39.100000000000001pt;width:5.04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6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Подпись к картинке_"/>
    <w:basedOn w:val="DefaultParagraphFont"/>
    <w:link w:val="Style1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18">
    <w:name w:val="Основной текст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393939"/>
      <w:sz w:val="12"/>
      <w:szCs w:val="12"/>
      <w:u w:val="none"/>
    </w:rPr>
  </w:style>
  <w:style w:type="character" w:customStyle="1" w:styleId="CharStyle26">
    <w:name w:val="Заголовок №1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29">
    <w:name w:val="Основной текст (5)_"/>
    <w:basedOn w:val="DefaultParagraphFont"/>
    <w:link w:val="Style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6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17">
    <w:name w:val="Основной текст (2)"/>
    <w:basedOn w:val="Normal"/>
    <w:link w:val="CharStyle18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93939"/>
      <w:sz w:val="12"/>
      <w:szCs w:val="12"/>
      <w:u w:val="none"/>
    </w:rPr>
  </w:style>
  <w:style w:type="paragraph" w:customStyle="1" w:styleId="Style25">
    <w:name w:val="Заголовок №1"/>
    <w:basedOn w:val="Normal"/>
    <w:link w:val="CharStyle26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8">
    <w:name w:val="Основной текст (5)"/>
    <w:basedOn w:val="Normal"/>
    <w:link w:val="CharStyle29"/>
    <w:pPr>
      <w:widowControl w:val="0"/>
      <w:shd w:val="clear" w:color="auto" w:fill="auto"/>
      <w:spacing w:after="100"/>
      <w:ind w:left="45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