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66" w:wrap="none" w:hAnchor="page" w:x="1661" w:y="113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ФЕДЕРАЛЬНАЯ</w:t>
      </w:r>
    </w:p>
    <w:p>
      <w:pPr>
        <w:pStyle w:val="Style2"/>
        <w:keepNext w:val="0"/>
        <w:keepLines w:val="0"/>
        <w:framePr w:w="2899" w:h="466" w:wrap="none" w:hAnchor="page" w:x="1661" w:y="11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АНТИМОНОПОЛЬНАЯ СЛУЖБА</w:t>
      </w:r>
    </w:p>
    <w:p>
      <w:pPr>
        <w:pStyle w:val="Style4"/>
        <w:keepNext w:val="0"/>
        <w:keepLines w:val="0"/>
        <w:framePr w:w="3552" w:h="1565" w:wrap="none" w:hAnchor="page" w:x="1339" w:y="1743"/>
        <w:widowControl w:val="0"/>
        <w:shd w:val="clear" w:color="auto" w:fill="auto"/>
        <w:bidi w:val="0"/>
        <w:spacing w:before="0" w:after="180" w:line="240" w:lineRule="auto"/>
        <w:ind w:left="0" w:right="0" w:firstLine="0"/>
        <w:jc w:val="center"/>
        <w:rPr>
          <w:sz w:val="20"/>
          <w:szCs w:val="20"/>
        </w:rPr>
      </w:pPr>
      <w:r>
        <w:rPr>
          <w:i w:val="0"/>
          <w:iCs w:val="0"/>
          <w:color w:val="000000"/>
          <w:spacing w:val="0"/>
          <w:w w:val="100"/>
          <w:position w:val="0"/>
          <w:sz w:val="20"/>
          <w:szCs w:val="20"/>
          <w:shd w:val="clear" w:color="auto" w:fill="auto"/>
          <w:lang w:val="ru-RU" w:eastAsia="ru-RU" w:bidi="ru-RU"/>
        </w:rPr>
        <w:t>УПРАВЛЕНИЕ</w:t>
        <w:br/>
        <w:t>Федеральной антимонопольной службы</w:t>
        <w:br/>
        <w:t>но Республике Хакасии</w:t>
      </w:r>
    </w:p>
    <w:p>
      <w:pPr>
        <w:pStyle w:val="Style7"/>
        <w:keepNext w:val="0"/>
        <w:keepLines w:val="0"/>
        <w:framePr w:w="3552" w:h="1565" w:wrap="none" w:hAnchor="page" w:x="1339" w:y="1743"/>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ул. Вяткппа, 3, г. Абакан, 655017</w:t>
        <w:br/>
        <w:t>тел. (3902) 22-27-59, факс (3902) 22-62-55</w:t>
        <w:br/>
        <w:t>е-таП: 1о 19@.Га$.^оу.гп</w:t>
      </w:r>
    </w:p>
    <w:p>
      <w:pPr>
        <w:pStyle w:val="Style9"/>
        <w:keepNext w:val="0"/>
        <w:keepLines w:val="0"/>
        <w:framePr w:w="2189" w:h="461" w:wrap="none" w:hAnchor="page" w:x="1123" w:y="3515"/>
        <w:widowControl w:val="0"/>
        <w:shd w:val="clear" w:color="auto" w:fill="auto"/>
        <w:tabs>
          <w:tab w:pos="1838" w:val="left"/>
        </w:tabs>
        <w:bidi w:val="0"/>
        <w:spacing w:before="0" w:after="0" w:line="240" w:lineRule="auto"/>
        <w:ind w:left="0" w:right="0" w:firstLine="0"/>
        <w:jc w:val="left"/>
      </w:pPr>
      <w:r>
        <w:rPr>
          <w:color w:val="000000"/>
          <w:spacing w:val="0"/>
          <w:position w:val="0"/>
          <w:shd w:val="clear" w:color="auto" w:fill="auto"/>
          <w:lang w:val="ru-RU" w:eastAsia="ru-RU" w:bidi="ru-RU"/>
        </w:rPr>
        <w:t>15 МАР 2023</w:t>
      </w:r>
      <w:r>
        <w:rPr>
          <w:color w:val="000000"/>
          <w:spacing w:val="0"/>
          <w:position w:val="0"/>
          <w:u w:val="none"/>
          <w:shd w:val="clear" w:color="auto" w:fill="auto"/>
          <w:lang w:val="ru-RU" w:eastAsia="ru-RU" w:bidi="ru-RU"/>
        </w:rPr>
        <w:tab/>
      </w:r>
      <w:r>
        <w:rPr>
          <w:color w:val="000000"/>
          <w:spacing w:val="0"/>
          <w:position w:val="0"/>
          <w:u w:val="none"/>
          <w:shd w:val="clear" w:color="auto" w:fill="auto"/>
          <w:vertAlign w:val="subscript"/>
          <w:lang w:val="ru-RU" w:eastAsia="ru-RU" w:bidi="ru-RU"/>
        </w:rPr>
        <w:t>№</w:t>
      </w:r>
    </w:p>
    <w:p>
      <w:pPr>
        <w:pStyle w:val="Style12"/>
        <w:keepNext w:val="0"/>
        <w:keepLines w:val="0"/>
        <w:framePr w:w="3936" w:h="298" w:wrap="none" w:hAnchor="page" w:x="1090" w:y="4998"/>
        <w:widowControl w:val="0"/>
        <w:shd w:val="clear" w:color="auto" w:fill="auto"/>
        <w:bidi w:val="0"/>
        <w:spacing w:before="0" w:after="0" w:line="240" w:lineRule="auto"/>
        <w:ind w:left="0" w:right="0" w:firstLine="0"/>
        <w:jc w:val="left"/>
      </w:pPr>
      <w:r>
        <w:rPr>
          <w:i w:val="0"/>
          <w:iCs w:val="0"/>
          <w:color w:val="000000"/>
          <w:spacing w:val="0"/>
          <w:w w:val="100"/>
          <w:position w:val="0"/>
          <w:sz w:val="24"/>
          <w:szCs w:val="24"/>
          <w:shd w:val="clear" w:color="auto" w:fill="auto"/>
          <w:lang w:val="ru-RU" w:eastAsia="ru-RU" w:bidi="ru-RU"/>
        </w:rPr>
        <w:t>Решение по жалобе № 019/06/106-</w:t>
      </w:r>
    </w:p>
    <w:p>
      <w:pPr>
        <w:pStyle w:val="Style12"/>
        <w:keepNext w:val="0"/>
        <w:keepLines w:val="0"/>
        <w:framePr w:w="931" w:h="298" w:wrap="none" w:hAnchor="page" w:x="1114" w:y="5300"/>
        <w:widowControl w:val="0"/>
        <w:shd w:val="clear" w:color="auto" w:fill="auto"/>
        <w:bidi w:val="0"/>
        <w:spacing w:before="0" w:after="0" w:line="240" w:lineRule="auto"/>
        <w:ind w:left="0" w:right="0" w:firstLine="0"/>
        <w:jc w:val="left"/>
      </w:pPr>
      <w:r>
        <w:rPr>
          <w:i w:val="0"/>
          <w:iCs w:val="0"/>
          <w:color w:val="000000"/>
          <w:spacing w:val="0"/>
          <w:w w:val="100"/>
          <w:position w:val="0"/>
          <w:sz w:val="24"/>
          <w:szCs w:val="24"/>
          <w:shd w:val="clear" w:color="auto" w:fill="auto"/>
          <w:lang w:val="ru-RU" w:eastAsia="ru-RU" w:bidi="ru-RU"/>
        </w:rPr>
        <w:t>190/2023</w:t>
      </w:r>
    </w:p>
    <w:p>
      <w:pPr>
        <w:pStyle w:val="Style12"/>
        <w:keepNext w:val="0"/>
        <w:keepLines w:val="0"/>
        <w:framePr w:w="4915" w:h="9432" w:wrap="none" w:hAnchor="page" w:x="6307" w:y="918"/>
        <w:widowControl w:val="0"/>
        <w:shd w:val="clear" w:color="auto" w:fill="auto"/>
        <w:bidi w:val="0"/>
        <w:spacing w:before="0" w:after="0" w:line="240" w:lineRule="auto"/>
        <w:ind w:left="0" w:right="0" w:firstLine="0"/>
        <w:jc w:val="left"/>
      </w:pPr>
      <w:r>
        <w:rPr>
          <w:i w:val="0"/>
          <w:iCs w:val="0"/>
          <w:color w:val="000000"/>
          <w:spacing w:val="0"/>
          <w:w w:val="100"/>
          <w:position w:val="0"/>
          <w:sz w:val="24"/>
          <w:szCs w:val="24"/>
          <w:shd w:val="clear" w:color="auto" w:fill="auto"/>
          <w:lang w:val="ru-RU" w:eastAsia="ru-RU" w:bidi="ru-RU"/>
        </w:rPr>
        <w:t>Заявителю -</w:t>
      </w:r>
    </w:p>
    <w:p>
      <w:pPr>
        <w:pStyle w:val="Style12"/>
        <w:keepNext w:val="0"/>
        <w:keepLines w:val="0"/>
        <w:framePr w:w="4915" w:h="9432" w:wrap="none" w:hAnchor="page" w:x="6307" w:y="918"/>
        <w:widowControl w:val="0"/>
        <w:shd w:val="clear" w:color="auto" w:fill="auto"/>
        <w:bidi w:val="0"/>
        <w:spacing w:before="0" w:after="260" w:line="240" w:lineRule="auto"/>
        <w:ind w:left="0" w:right="0" w:firstLine="0"/>
        <w:jc w:val="left"/>
      </w:pPr>
      <w:r>
        <w:rPr>
          <w:i w:val="0"/>
          <w:iCs w:val="0"/>
          <w:color w:val="000000"/>
          <w:spacing w:val="0"/>
          <w:w w:val="100"/>
          <w:position w:val="0"/>
          <w:sz w:val="24"/>
          <w:szCs w:val="24"/>
          <w:shd w:val="clear" w:color="auto" w:fill="auto"/>
          <w:lang w:val="ru-RU" w:eastAsia="ru-RU" w:bidi="ru-RU"/>
        </w:rPr>
        <w:t>ООО «ТехГидроПроект» 170100, Тверская область, пер. Вагжановский о11с1а09@уапбех.га</w:t>
      </w:r>
    </w:p>
    <w:p>
      <w:pPr>
        <w:pStyle w:val="Style12"/>
        <w:keepNext w:val="0"/>
        <w:keepLines w:val="0"/>
        <w:framePr w:w="4915" w:h="9432" w:wrap="none" w:hAnchor="page" w:x="6307" w:y="918"/>
        <w:widowControl w:val="0"/>
        <w:shd w:val="clear" w:color="auto" w:fill="auto"/>
        <w:bidi w:val="0"/>
        <w:spacing w:before="0" w:after="0" w:line="240" w:lineRule="auto"/>
        <w:ind w:left="0" w:right="0" w:firstLine="0"/>
        <w:jc w:val="left"/>
      </w:pPr>
      <w:r>
        <w:rPr>
          <w:i w:val="0"/>
          <w:iCs w:val="0"/>
          <w:color w:val="000000"/>
          <w:spacing w:val="0"/>
          <w:w w:val="100"/>
          <w:position w:val="0"/>
          <w:sz w:val="24"/>
          <w:szCs w:val="24"/>
          <w:shd w:val="clear" w:color="auto" w:fill="auto"/>
          <w:lang w:val="ru-RU" w:eastAsia="ru-RU" w:bidi="ru-RU"/>
        </w:rPr>
        <w:t>Субъектам контроля:</w:t>
      </w:r>
    </w:p>
    <w:p>
      <w:pPr>
        <w:pStyle w:val="Style12"/>
        <w:keepNext w:val="0"/>
        <w:keepLines w:val="0"/>
        <w:framePr w:w="4915" w:h="9432" w:wrap="none" w:hAnchor="page" w:x="6307" w:y="918"/>
        <w:widowControl w:val="0"/>
        <w:shd w:val="clear" w:color="auto" w:fill="auto"/>
        <w:bidi w:val="0"/>
        <w:spacing w:before="0" w:after="0" w:line="240" w:lineRule="auto"/>
        <w:ind w:left="0" w:right="0" w:firstLine="0"/>
        <w:jc w:val="left"/>
      </w:pPr>
      <w:r>
        <w:rPr>
          <w:i w:val="0"/>
          <w:iCs w:val="0"/>
          <w:color w:val="000000"/>
          <w:spacing w:val="0"/>
          <w:w w:val="100"/>
          <w:position w:val="0"/>
          <w:sz w:val="24"/>
          <w:szCs w:val="24"/>
          <w:shd w:val="clear" w:color="auto" w:fill="auto"/>
          <w:lang w:val="ru-RU" w:eastAsia="ru-RU" w:bidi="ru-RU"/>
        </w:rPr>
        <w:t>Заказчику - Государственному бюджетному учреждению Республики Хакасия «Управление инженерных защит»</w:t>
      </w:r>
    </w:p>
    <w:p>
      <w:pPr>
        <w:pStyle w:val="Style12"/>
        <w:keepNext w:val="0"/>
        <w:keepLines w:val="0"/>
        <w:framePr w:w="4915" w:h="9432" w:wrap="none" w:hAnchor="page" w:x="6307" w:y="918"/>
        <w:widowControl w:val="0"/>
        <w:shd w:val="clear" w:color="auto" w:fill="auto"/>
        <w:bidi w:val="0"/>
        <w:spacing w:before="0" w:after="260" w:line="240" w:lineRule="auto"/>
        <w:ind w:left="0" w:right="0" w:firstLine="0"/>
        <w:jc w:val="left"/>
      </w:pPr>
      <w:r>
        <w:rPr>
          <w:i w:val="0"/>
          <w:iCs w:val="0"/>
          <w:color w:val="000000"/>
          <w:spacing w:val="0"/>
          <w:w w:val="100"/>
          <w:position w:val="0"/>
          <w:sz w:val="24"/>
          <w:szCs w:val="24"/>
          <w:shd w:val="clear" w:color="auto" w:fill="auto"/>
          <w:lang w:val="ru-RU" w:eastAsia="ru-RU" w:bidi="ru-RU"/>
        </w:rPr>
        <w:t>655003, Хакасия Респ, г. Абакан, ул. Маршала Жукова, 90 1п§ха811@уап&lt;1ех.ги</w:t>
      </w:r>
    </w:p>
    <w:p>
      <w:pPr>
        <w:pStyle w:val="Style12"/>
        <w:keepNext w:val="0"/>
        <w:keepLines w:val="0"/>
        <w:framePr w:w="4915" w:h="9432" w:wrap="none" w:hAnchor="page" w:x="6307" w:y="918"/>
        <w:widowControl w:val="0"/>
        <w:shd w:val="clear" w:color="auto" w:fill="auto"/>
        <w:bidi w:val="0"/>
        <w:spacing w:before="0" w:after="260" w:line="240" w:lineRule="auto"/>
        <w:ind w:left="0" w:right="0" w:firstLine="0"/>
        <w:jc w:val="left"/>
      </w:pPr>
      <w:r>
        <w:rPr>
          <w:i w:val="0"/>
          <w:iCs w:val="0"/>
          <w:color w:val="000000"/>
          <w:spacing w:val="0"/>
          <w:w w:val="100"/>
          <w:position w:val="0"/>
          <w:sz w:val="24"/>
          <w:szCs w:val="24"/>
          <w:shd w:val="clear" w:color="auto" w:fill="auto"/>
          <w:lang w:val="ru-RU" w:eastAsia="ru-RU" w:bidi="ru-RU"/>
        </w:rPr>
        <w:t>Уполномоченному органу - Государственному комитету по регулированию контрактной системы в сфере закупок Республики Хакасия 655017, Республика Хакасия, г. Абакан, ул. Кравченко, 113, стр. 1, помещение 25Н §2@г-19.ги</w:t>
      </w:r>
    </w:p>
    <w:p>
      <w:pPr>
        <w:pStyle w:val="Style12"/>
        <w:keepNext w:val="0"/>
        <w:keepLines w:val="0"/>
        <w:framePr w:w="4915" w:h="9432" w:wrap="none" w:hAnchor="page" w:x="6307" w:y="918"/>
        <w:widowControl w:val="0"/>
        <w:shd w:val="clear" w:color="auto" w:fill="auto"/>
        <w:bidi w:val="0"/>
        <w:spacing w:before="0" w:after="260" w:line="240" w:lineRule="auto"/>
        <w:ind w:left="0" w:right="0" w:firstLine="0"/>
        <w:jc w:val="left"/>
      </w:pPr>
      <w:r>
        <w:rPr>
          <w:i w:val="0"/>
          <w:iCs w:val="0"/>
          <w:color w:val="000000"/>
          <w:spacing w:val="0"/>
          <w:w w:val="100"/>
          <w:position w:val="0"/>
          <w:sz w:val="24"/>
          <w:szCs w:val="24"/>
          <w:shd w:val="clear" w:color="auto" w:fill="auto"/>
          <w:lang w:val="ru-RU" w:eastAsia="ru-RU" w:bidi="ru-RU"/>
        </w:rPr>
        <w:t>Оператору электронной площадки - АО «Сбербанк-АСТ» ко@8ЪегЬапк-а81.ги</w:t>
      </w:r>
    </w:p>
    <w:p>
      <w:pPr>
        <w:pStyle w:val="Style12"/>
        <w:keepNext w:val="0"/>
        <w:keepLines w:val="0"/>
        <w:framePr w:w="4915" w:h="9432" w:wrap="none" w:hAnchor="page" w:x="6307" w:y="918"/>
        <w:widowControl w:val="0"/>
        <w:shd w:val="clear" w:color="auto" w:fill="auto"/>
        <w:bidi w:val="0"/>
        <w:spacing w:before="0" w:after="0" w:line="240" w:lineRule="auto"/>
        <w:ind w:left="0" w:right="0" w:firstLine="0"/>
        <w:jc w:val="left"/>
      </w:pPr>
      <w:r>
        <w:rPr>
          <w:i w:val="0"/>
          <w:iCs w:val="0"/>
          <w:color w:val="000000"/>
          <w:spacing w:val="0"/>
          <w:w w:val="100"/>
          <w:position w:val="0"/>
          <w:sz w:val="24"/>
          <w:szCs w:val="24"/>
          <w:shd w:val="clear" w:color="auto" w:fill="auto"/>
          <w:lang w:val="ru-RU" w:eastAsia="ru-RU" w:bidi="ru-RU"/>
        </w:rPr>
        <w:t>Заинтересованному лицу -</w:t>
      </w:r>
    </w:p>
    <w:p>
      <w:pPr>
        <w:pStyle w:val="Style12"/>
        <w:keepNext w:val="0"/>
        <w:keepLines w:val="0"/>
        <w:framePr w:w="4915" w:h="9432" w:wrap="none" w:hAnchor="page" w:x="6307" w:y="918"/>
        <w:widowControl w:val="0"/>
        <w:shd w:val="clear" w:color="auto" w:fill="auto"/>
        <w:bidi w:val="0"/>
        <w:spacing w:before="0" w:after="0" w:line="240" w:lineRule="auto"/>
        <w:ind w:left="0" w:right="0" w:firstLine="0"/>
        <w:jc w:val="left"/>
      </w:pPr>
      <w:r>
        <w:rPr>
          <w:i w:val="0"/>
          <w:iCs w:val="0"/>
          <w:color w:val="000000"/>
          <w:spacing w:val="0"/>
          <w:w w:val="100"/>
          <w:position w:val="0"/>
          <w:sz w:val="24"/>
          <w:szCs w:val="24"/>
          <w:shd w:val="clear" w:color="auto" w:fill="auto"/>
          <w:lang w:val="ru-RU" w:eastAsia="ru-RU" w:bidi="ru-RU"/>
        </w:rPr>
        <w:t>ООО Проектно-строительная компания «Гидротехнические сооружения» ООО ПСК «ГТС»</w:t>
      </w:r>
    </w:p>
    <w:p>
      <w:pPr>
        <w:pStyle w:val="Style12"/>
        <w:keepNext w:val="0"/>
        <w:keepLines w:val="0"/>
        <w:framePr w:w="4915" w:h="9432" w:wrap="none" w:hAnchor="page" w:x="6307" w:y="918"/>
        <w:widowControl w:val="0"/>
        <w:shd w:val="clear" w:color="auto" w:fill="auto"/>
        <w:bidi w:val="0"/>
        <w:spacing w:before="0" w:after="0" w:line="240" w:lineRule="auto"/>
        <w:ind w:left="0" w:right="0" w:firstLine="0"/>
        <w:jc w:val="left"/>
      </w:pPr>
      <w:r>
        <w:rPr>
          <w:i w:val="0"/>
          <w:iCs w:val="0"/>
          <w:color w:val="000000"/>
          <w:spacing w:val="0"/>
          <w:w w:val="100"/>
          <w:position w:val="0"/>
          <w:sz w:val="24"/>
          <w:szCs w:val="24"/>
          <w:shd w:val="clear" w:color="auto" w:fill="auto"/>
          <w:lang w:val="ru-RU" w:eastAsia="ru-RU" w:bidi="ru-RU"/>
        </w:rPr>
        <w:t>660062, Красноярский край, г. Красноярск, ул. Бильского, д. 3, кв. 27</w:t>
      </w:r>
    </w:p>
    <w:p>
      <w:pPr>
        <w:pStyle w:val="Style12"/>
        <w:keepNext w:val="0"/>
        <w:keepLines w:val="0"/>
        <w:framePr w:w="4915" w:h="9432" w:wrap="none" w:hAnchor="page" w:x="6307" w:y="918"/>
        <w:widowControl w:val="0"/>
        <w:shd w:val="clear" w:color="auto" w:fill="auto"/>
        <w:bidi w:val="0"/>
        <w:spacing w:before="0" w:after="260" w:line="240" w:lineRule="auto"/>
        <w:ind w:left="0" w:right="0" w:firstLine="0"/>
        <w:jc w:val="left"/>
      </w:pPr>
      <w:r>
        <w:rPr>
          <w:i w:val="0"/>
          <w:iCs w:val="0"/>
          <w:color w:val="000000"/>
          <w:spacing w:val="0"/>
          <w:w w:val="100"/>
          <w:position w:val="0"/>
          <w:sz w:val="24"/>
          <w:szCs w:val="24"/>
          <w:shd w:val="clear" w:color="auto" w:fill="auto"/>
          <w:lang w:val="ru-RU" w:eastAsia="ru-RU" w:bidi="ru-RU"/>
        </w:rPr>
        <w:t>р8к_§Щ@таИ.ги</w:t>
      </w:r>
    </w:p>
    <w:p>
      <w:pPr>
        <w:pStyle w:val="Style12"/>
        <w:keepNext w:val="0"/>
        <w:keepLines w:val="0"/>
        <w:framePr w:w="4915" w:h="9432" w:wrap="none" w:hAnchor="page" w:x="6307" w:y="918"/>
        <w:widowControl w:val="0"/>
        <w:shd w:val="clear" w:color="auto" w:fill="auto"/>
        <w:bidi w:val="0"/>
        <w:spacing w:before="0" w:after="260" w:line="240" w:lineRule="auto"/>
        <w:ind w:left="0" w:right="0" w:firstLine="0"/>
        <w:jc w:val="left"/>
      </w:pPr>
      <w:r>
        <w:rPr>
          <w:i w:val="0"/>
          <w:iCs w:val="0"/>
          <w:color w:val="000000"/>
          <w:spacing w:val="0"/>
          <w:w w:val="100"/>
          <w:position w:val="0"/>
          <w:sz w:val="24"/>
          <w:szCs w:val="24"/>
          <w:shd w:val="clear" w:color="auto" w:fill="auto"/>
          <w:lang w:val="ru-RU" w:eastAsia="ru-RU" w:bidi="ru-RU"/>
        </w:rPr>
        <w:t>Извещение № 0380200000123000695</w:t>
      </w:r>
    </w:p>
    <w:p>
      <w:pPr>
        <w:widowControl w:val="0"/>
        <w:spacing w:line="360" w:lineRule="exact"/>
      </w:pPr>
      <w:r>
        <w:drawing>
          <wp:anchor distT="0" distB="0" distL="0" distR="0" simplePos="0" relativeHeight="62914690" behindDoc="1" locked="0" layoutInCell="1" allowOverlap="1">
            <wp:simplePos x="0" y="0"/>
            <wp:positionH relativeFrom="page">
              <wp:posOffset>1727835</wp:posOffset>
            </wp:positionH>
            <wp:positionV relativeFrom="margin">
              <wp:posOffset>0</wp:posOffset>
            </wp:positionV>
            <wp:extent cx="511810"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28" w:line="1" w:lineRule="exact"/>
      </w:pPr>
    </w:p>
    <w:p>
      <w:pPr>
        <w:widowControl w:val="0"/>
        <w:spacing w:line="1" w:lineRule="exact"/>
        <w:sectPr>
          <w:footnotePr>
            <w:pos w:val="pageBottom"/>
            <w:numFmt w:val="decimal"/>
            <w:numRestart w:val="continuous"/>
          </w:footnotePr>
          <w:pgSz w:w="11900" w:h="16840"/>
          <w:pgMar w:top="358" w:right="626" w:bottom="773" w:left="882" w:header="0" w:footer="345" w:gutter="0"/>
          <w:pgNumType w:start="1"/>
          <w:cols w:space="720"/>
          <w:noEndnote/>
          <w:rtlGutter w:val="0"/>
          <w:docGrid w:linePitch="360"/>
        </w:sectPr>
      </w:pPr>
    </w:p>
    <w:p>
      <w:pPr>
        <w:widowControl w:val="0"/>
        <w:spacing w:line="79" w:lineRule="exact"/>
        <w:rPr>
          <w:sz w:val="6"/>
          <w:szCs w:val="6"/>
        </w:rPr>
      </w:pPr>
    </w:p>
    <w:p>
      <w:pPr>
        <w:widowControl w:val="0"/>
        <w:spacing w:line="1" w:lineRule="exact"/>
        <w:sectPr>
          <w:footnotePr>
            <w:pos w:val="pageBottom"/>
            <w:numFmt w:val="decimal"/>
            <w:numRestart w:val="continuous"/>
          </w:footnotePr>
          <w:type w:val="continuous"/>
          <w:pgSz w:w="11900" w:h="16840"/>
          <w:pgMar w:top="358" w:right="0" w:bottom="358" w:left="0" w:header="0" w:footer="3" w:gutter="0"/>
          <w:cols w:space="720"/>
          <w:noEndnote/>
          <w:rtlGutter w:val="0"/>
          <w:docGrid w:linePitch="360"/>
        </w:sectPr>
      </w:pPr>
    </w:p>
    <w:p>
      <w:pPr>
        <w:pStyle w:val="Style15"/>
        <w:keepNext w:val="0"/>
        <w:keepLines w:val="0"/>
        <w:widowControl w:val="0"/>
        <w:shd w:val="clear" w:color="auto" w:fill="auto"/>
        <w:bidi w:val="0"/>
        <w:spacing w:before="0" w:after="380"/>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6110605</wp:posOffset>
                </wp:positionH>
                <wp:positionV relativeFrom="paragraph">
                  <wp:posOffset>711200</wp:posOffset>
                </wp:positionV>
                <wp:extent cx="731520" cy="216535"/>
                <wp:wrapSquare wrapText="left"/>
                <wp:docPr id="3" name="Shape 3"/>
                <a:graphic xmlns:a="http://schemas.openxmlformats.org/drawingml/2006/main">
                  <a:graphicData uri="http://schemas.microsoft.com/office/word/2010/wordprocessingShape">
                    <wps:wsp>
                      <wps:cNvSpPr txBox="1"/>
                      <wps:spPr>
                        <a:xfrm>
                          <a:ext cx="731520" cy="21653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Абакан</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481.15000000000003pt;margin-top:56.pt;width:57.600000000000001pt;height:17.050000000000001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Абакан</w:t>
                      </w:r>
                    </w:p>
                  </w:txbxContent>
                </v:textbox>
                <w10:wrap type="square" side="left" anchorx="page"/>
              </v:shape>
            </w:pict>
          </mc:Fallback>
        </mc:AlternateContent>
      </w:r>
      <w:r>
        <w:rPr>
          <w:b/>
          <w:bCs/>
          <w:color w:val="000000"/>
          <w:spacing w:val="0"/>
          <w:w w:val="100"/>
          <w:position w:val="0"/>
          <w:shd w:val="clear" w:color="auto" w:fill="auto"/>
          <w:lang w:val="ru-RU" w:eastAsia="ru-RU" w:bidi="ru-RU"/>
        </w:rPr>
        <w:t>РЕШЕНИЕ</w:t>
        <w:br/>
        <w:t>по жалобе № 019/06/106-190/2023</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«10» марта 2023 года</w:t>
      </w:r>
    </w:p>
    <w:p>
      <w:pPr>
        <w:pStyle w:val="Style15"/>
        <w:keepNext w:val="0"/>
        <w:keepLines w:val="0"/>
        <w:widowControl w:val="0"/>
        <w:shd w:val="clear" w:color="auto" w:fill="auto"/>
        <w:bidi w:val="0"/>
        <w:spacing w:before="0" w:after="0" w:line="271" w:lineRule="auto"/>
        <w:ind w:left="0" w:right="0" w:firstLine="68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w:t>
      </w:r>
    </w:p>
    <w:p>
      <w:pPr>
        <w:pStyle w:val="Style15"/>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ru-RU" w:eastAsia="ru-RU" w:bidi="ru-RU"/>
        </w:rPr>
        <w:t>Хакасия по контролю закупок (далее - Комиссия) в составе:</w:t>
      </w:r>
    </w:p>
    <w:p>
      <w:pPr>
        <w:pStyle w:val="Style15"/>
        <w:keepNext w:val="0"/>
        <w:keepLines w:val="0"/>
        <w:widowControl w:val="0"/>
        <w:shd w:val="clear" w:color="auto" w:fill="auto"/>
        <w:tabs>
          <w:tab w:pos="5323" w:val="left"/>
        </w:tabs>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комиссии:</w:t>
        <w:tab/>
        <w:t>заместителя руководителя управления;</w:t>
      </w:r>
    </w:p>
    <w:p>
      <w:pPr>
        <w:pStyle w:val="Style15"/>
        <w:keepNext w:val="0"/>
        <w:keepLines w:val="0"/>
        <w:widowControl w:val="0"/>
        <w:shd w:val="clear" w:color="auto" w:fill="auto"/>
        <w:tabs>
          <w:tab w:pos="4814" w:val="left"/>
        </w:tabs>
        <w:bidi w:val="0"/>
        <w:spacing w:before="0" w:after="0" w:line="271" w:lineRule="auto"/>
        <w:ind w:left="0" w:right="0" w:firstLine="0"/>
        <w:jc w:val="left"/>
      </w:pPr>
      <w:r>
        <w:rPr>
          <w:color w:val="000000"/>
          <w:spacing w:val="0"/>
          <w:w w:val="100"/>
          <w:position w:val="0"/>
          <w:shd w:val="clear" w:color="auto" w:fill="auto"/>
          <w:lang w:val="ru-RU" w:eastAsia="ru-RU" w:bidi="ru-RU"/>
        </w:rPr>
        <w:t>Членов комиссии:</w:t>
        <w:tab/>
        <w:t>, начальника отдела контроля закупок и</w:t>
      </w:r>
    </w:p>
    <w:p>
      <w:pPr>
        <w:pStyle w:val="Style15"/>
        <w:keepNext w:val="0"/>
        <w:keepLines w:val="0"/>
        <w:widowControl w:val="0"/>
        <w:shd w:val="clear" w:color="auto" w:fill="auto"/>
        <w:bidi w:val="0"/>
        <w:spacing w:before="0" w:after="0" w:line="271" w:lineRule="auto"/>
        <w:ind w:left="4780" w:right="0" w:hanging="1600"/>
        <w:jc w:val="left"/>
      </w:pPr>
      <w:r>
        <w:rPr>
          <w:color w:val="000000"/>
          <w:spacing w:val="0"/>
          <w:w w:val="100"/>
          <w:position w:val="0"/>
          <w:shd w:val="clear" w:color="auto" w:fill="auto"/>
          <w:lang w:val="ru-RU" w:eastAsia="ru-RU" w:bidi="ru-RU"/>
        </w:rPr>
        <w:t>антимонопольного контроля органов власти, главного специалиста - эксперта отдела</w:t>
      </w:r>
    </w:p>
    <w:p>
      <w:pPr>
        <w:pStyle w:val="Style18"/>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111111111111111111111111</w:t>
      </w:r>
      <w:bookmarkEnd w:id="0"/>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358" w:right="626" w:bottom="358" w:left="882" w:header="0" w:footer="3" w:gutter="0"/>
          <w:cols w:space="720"/>
          <w:noEndnote/>
          <w:rtlGutter w:val="0"/>
          <w:docGrid w:linePitch="360"/>
        </w:sectPr>
      </w:pPr>
      <w:r>
        <w:rPr>
          <w:i w:val="0"/>
          <w:iCs w:val="0"/>
          <w:color w:val="000000"/>
          <w:spacing w:val="0"/>
          <w:w w:val="100"/>
          <w:position w:val="0"/>
          <w:sz w:val="24"/>
          <w:szCs w:val="24"/>
          <w:shd w:val="clear" w:color="auto" w:fill="auto"/>
          <w:lang w:val="ru-RU" w:eastAsia="ru-RU" w:bidi="ru-RU"/>
        </w:rPr>
        <w:t>2023-2004</w:t>
      </w:r>
    </w:p>
    <w:p>
      <w:pPr>
        <w:pStyle w:val="Style15"/>
        <w:keepNext w:val="0"/>
        <w:keepLines w:val="0"/>
        <w:widowControl w:val="0"/>
        <w:shd w:val="clear" w:color="auto" w:fill="auto"/>
        <w:bidi w:val="0"/>
        <w:spacing w:before="260" w:after="0" w:line="283" w:lineRule="auto"/>
        <w:ind w:left="3140" w:right="0" w:firstLine="0"/>
        <w:jc w:val="both"/>
      </w:pPr>
      <w:r>
        <w:rPr>
          <w:color w:val="000000"/>
          <w:spacing w:val="0"/>
          <w:w w:val="100"/>
          <w:position w:val="0"/>
          <w:shd w:val="clear" w:color="auto" w:fill="auto"/>
          <w:lang w:val="ru-RU" w:eastAsia="ru-RU" w:bidi="ru-RU"/>
        </w:rPr>
        <w:t>контроля закупок и антимонопольного контроля органов власти;</w:t>
      </w:r>
    </w:p>
    <w:p>
      <w:pPr>
        <w:pStyle w:val="Style15"/>
        <w:keepNext w:val="0"/>
        <w:keepLines w:val="0"/>
        <w:widowControl w:val="0"/>
        <w:shd w:val="clear" w:color="auto" w:fill="auto"/>
        <w:bidi w:val="0"/>
        <w:spacing w:before="0" w:after="0"/>
        <w:ind w:left="0" w:right="0" w:firstLine="620"/>
        <w:jc w:val="both"/>
      </w:pPr>
      <w:r>
        <w:rPr>
          <w:i/>
          <w:iCs/>
          <w:color w:val="000000"/>
          <w:spacing w:val="0"/>
          <w:w w:val="100"/>
          <w:position w:val="0"/>
          <w:shd w:val="clear" w:color="auto" w:fill="auto"/>
          <w:lang w:val="ru-RU" w:eastAsia="ru-RU" w:bidi="ru-RU"/>
        </w:rPr>
        <w:t>при участии представителей:</w:t>
      </w:r>
    </w:p>
    <w:p>
      <w:pPr>
        <w:pStyle w:val="Style15"/>
        <w:keepNext w:val="0"/>
        <w:keepLines w:val="0"/>
        <w:widowControl w:val="0"/>
        <w:shd w:val="clear" w:color="auto" w:fill="auto"/>
        <w:bidi w:val="0"/>
        <w:spacing w:before="0" w:after="0"/>
        <w:ind w:left="0" w:right="0" w:firstLine="620"/>
        <w:jc w:val="both"/>
      </w:pPr>
      <w:r>
        <w:rPr>
          <w:i/>
          <w:iCs/>
          <w:color w:val="000000"/>
          <w:spacing w:val="0"/>
          <w:w w:val="100"/>
          <w:position w:val="0"/>
          <w:shd w:val="clear" w:color="auto" w:fill="auto"/>
          <w:lang w:val="ru-RU" w:eastAsia="ru-RU" w:bidi="ru-RU"/>
        </w:rPr>
        <w:t xml:space="preserve">государственного заказчика </w:t>
      </w:r>
      <w:r>
        <w:rPr>
          <w:color w:val="000000"/>
          <w:spacing w:val="0"/>
          <w:w w:val="100"/>
          <w:position w:val="0"/>
          <w:shd w:val="clear" w:color="auto" w:fill="auto"/>
          <w:lang w:val="ru-RU" w:eastAsia="ru-RU" w:bidi="ru-RU"/>
        </w:rPr>
        <w:t>- Государственного бюджетного учреждения Республики Хакасия «Управление инженерных защит» (далее - ГБУ РХ «Управление инженерных защит», Заказчик):</w:t>
      </w:r>
    </w:p>
    <w:p>
      <w:pPr>
        <w:pStyle w:val="Style15"/>
        <w:keepNext w:val="0"/>
        <w:keepLines w:val="0"/>
        <w:widowControl w:val="0"/>
        <w:shd w:val="clear" w:color="auto" w:fill="auto"/>
        <w:bidi w:val="0"/>
        <w:spacing w:before="0" w:after="0"/>
        <w:ind w:left="0" w:right="0" w:firstLine="5300"/>
        <w:jc w:val="both"/>
      </w:pPr>
      <w:r>
        <w:rPr>
          <w:color w:val="000000"/>
          <w:spacing w:val="0"/>
          <w:w w:val="100"/>
          <w:position w:val="0"/>
          <w:shd w:val="clear" w:color="auto" w:fill="auto"/>
          <w:lang w:val="ru-RU" w:eastAsia="ru-RU" w:bidi="ru-RU"/>
        </w:rPr>
        <w:t>, на основании доверенности № 1 от 09.06.2022,</w:t>
      </w:r>
    </w:p>
    <w:p>
      <w:pPr>
        <w:pStyle w:val="Style15"/>
        <w:keepNext w:val="0"/>
        <w:keepLines w:val="0"/>
        <w:widowControl w:val="0"/>
        <w:shd w:val="clear" w:color="auto" w:fill="auto"/>
        <w:bidi w:val="0"/>
        <w:spacing w:before="0" w:after="0"/>
        <w:ind w:left="0" w:right="0" w:firstLine="620"/>
        <w:jc w:val="both"/>
      </w:pPr>
      <w:r>
        <w:rPr>
          <w:i/>
          <w:iCs/>
          <w:color w:val="000000"/>
          <w:spacing w:val="0"/>
          <w:w w:val="100"/>
          <w:position w:val="0"/>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 Государственного комитета по регулированию контрактной системы в сфере закупок Республики Хакасия (далее - Госкомитет, уполномоченный орган):</w:t>
      </w:r>
    </w:p>
    <w:p>
      <w:pPr>
        <w:pStyle w:val="Style15"/>
        <w:keepNext w:val="0"/>
        <w:keepLines w:val="0"/>
        <w:widowControl w:val="0"/>
        <w:shd w:val="clear" w:color="auto" w:fill="auto"/>
        <w:bidi w:val="0"/>
        <w:spacing w:before="0" w:after="0"/>
        <w:ind w:left="0" w:right="0" w:firstLine="4980"/>
        <w:jc w:val="both"/>
      </w:pPr>
      <w:r>
        <w:rPr>
          <w:color w:val="000000"/>
          <w:spacing w:val="0"/>
          <w:w w:val="100"/>
          <w:position w:val="0"/>
          <w:shd w:val="clear" w:color="auto" w:fill="auto"/>
          <w:lang w:val="ru-RU" w:eastAsia="ru-RU" w:bidi="ru-RU"/>
        </w:rPr>
        <w:t>, на основании доверенности от 09.01.2023 № 1;</w:t>
      </w:r>
    </w:p>
    <w:p>
      <w:pPr>
        <w:pStyle w:val="Style15"/>
        <w:keepNext w:val="0"/>
        <w:keepLines w:val="0"/>
        <w:widowControl w:val="0"/>
        <w:shd w:val="clear" w:color="auto" w:fill="auto"/>
        <w:bidi w:val="0"/>
        <w:spacing w:before="0" w:after="0"/>
        <w:ind w:left="0" w:right="0" w:firstLine="620"/>
        <w:jc w:val="both"/>
      </w:pPr>
      <w:r>
        <w:rPr>
          <w:i/>
          <w:iCs/>
          <w:color w:val="000000"/>
          <w:spacing w:val="0"/>
          <w:w w:val="100"/>
          <w:position w:val="0"/>
          <w:shd w:val="clear" w:color="auto" w:fill="auto"/>
          <w:lang w:val="ru-RU" w:eastAsia="ru-RU" w:bidi="ru-RU"/>
        </w:rPr>
        <w:t>Заявителя -</w:t>
      </w:r>
      <w:r>
        <w:rPr>
          <w:color w:val="000000"/>
          <w:spacing w:val="0"/>
          <w:w w:val="100"/>
          <w:position w:val="0"/>
          <w:shd w:val="clear" w:color="auto" w:fill="auto"/>
          <w:lang w:val="ru-RU" w:eastAsia="ru-RU" w:bidi="ru-RU"/>
        </w:rPr>
        <w:t xml:space="preserve"> Общества с ограниченной ответственностью «ТехГидроПроект» (далее — ООО «ТГП», Заявитель, Общество):</w:t>
      </w:r>
    </w:p>
    <w:p>
      <w:pPr>
        <w:pStyle w:val="Style15"/>
        <w:keepNext w:val="0"/>
        <w:keepLines w:val="0"/>
        <w:widowControl w:val="0"/>
        <w:numPr>
          <w:ilvl w:val="0"/>
          <w:numId w:val="1"/>
        </w:numPr>
        <w:shd w:val="clear" w:color="auto" w:fill="auto"/>
        <w:tabs>
          <w:tab w:pos="903" w:val="left"/>
          <w:tab w:pos="5204" w:val="left"/>
        </w:tabs>
        <w:bidi w:val="0"/>
        <w:spacing w:before="0" w:after="0"/>
        <w:ind w:left="0" w:right="0" w:firstLine="620"/>
        <w:jc w:val="both"/>
      </w:pPr>
      <w:r>
        <w:rPr>
          <w:color w:val="000000"/>
          <w:spacing w:val="0"/>
          <w:w w:val="100"/>
          <w:position w:val="0"/>
          <w:shd w:val="clear" w:color="auto" w:fill="auto"/>
          <w:lang w:val="ru-RU" w:eastAsia="ru-RU" w:bidi="ru-RU"/>
        </w:rPr>
        <w:t>'</w:t>
        <w:tab/>
        <w:t>директора ООО «ТехГидроПроект», на</w:t>
      </w:r>
    </w:p>
    <w:p>
      <w:pPr>
        <w:pStyle w:val="Style1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основании Приказа о назначении на должность директора № 1-к от 02.04.2019,</w:t>
      </w:r>
    </w:p>
    <w:p>
      <w:pPr>
        <w:pStyle w:val="Style15"/>
        <w:keepNext w:val="0"/>
        <w:keepLines w:val="0"/>
        <w:widowControl w:val="0"/>
        <w:shd w:val="clear" w:color="auto" w:fill="auto"/>
        <w:bidi w:val="0"/>
        <w:spacing w:before="0" w:after="0"/>
        <w:ind w:left="2920" w:right="0" w:firstLine="0"/>
        <w:jc w:val="both"/>
      </w:pPr>
      <w:r>
        <w:rPr>
          <w:color w:val="000000"/>
          <w:spacing w:val="0"/>
          <w:w w:val="100"/>
          <w:position w:val="0"/>
          <w:shd w:val="clear" w:color="auto" w:fill="auto"/>
          <w:lang w:val="ru-RU" w:eastAsia="ru-RU" w:bidi="ru-RU"/>
        </w:rPr>
        <w:t>, на основании доверенности № 12 от 04.04.2022;</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Заинтересованного лица - Общества с ограниченной ответственностью Проектно-строительная компания «Гидротехнические сооружения» (далее - ООО ПСК «ГТС»):</w:t>
      </w:r>
    </w:p>
    <w:p>
      <w:pPr>
        <w:pStyle w:val="Style15"/>
        <w:keepNext w:val="0"/>
        <w:keepLines w:val="0"/>
        <w:widowControl w:val="0"/>
        <w:shd w:val="clear" w:color="auto" w:fill="auto"/>
        <w:bidi w:val="0"/>
        <w:spacing w:before="0" w:after="360"/>
        <w:ind w:left="0" w:right="0" w:firstLine="4760"/>
        <w:jc w:val="both"/>
      </w:pPr>
      <w:r>
        <w:rPr>
          <w:color w:val="000000"/>
          <w:spacing w:val="0"/>
          <w:w w:val="100"/>
          <w:position w:val="0"/>
          <w:shd w:val="clear" w:color="auto" w:fill="auto"/>
          <w:lang w:val="ru-RU" w:eastAsia="ru-RU" w:bidi="ru-RU"/>
        </w:rPr>
        <w:t xml:space="preserve">, директора ООО ПСК «ГТС» на основании Решения единственного учредителя ООО ПСК «ГТС» № 002 от 27.04.2021 года, рассмотрев посредством видеоконференцсвязи жалобу ООО «ТГП» на действия субъектов контроля при проведении электронного аукциона на оказание услуг по разработке декларации безопасности гидротехнического сооружения «Дамба на р. Сарала в с. Орджоникидзевское Орджоникидзевского района Республики Хакасия» и пакета документов, необходимых для безопасной эксплуатации гидротехнического сооружения и проведение экспертизы декларации безопасности гидротехнического сооружения (извещение № 0380200000123000695) (далее - Аукцион), и в результате осуществления внеплановой проверки в соответствии с пунктом 1 части 15 статьи 99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w:t>
      </w:r>
      <w:r>
        <w:rPr>
          <w:color w:val="000000"/>
          <w:spacing w:val="0"/>
          <w:w w:val="100"/>
          <w:position w:val="0"/>
          <w:shd w:val="clear" w:color="auto" w:fill="auto"/>
          <w:lang w:val="ru-RU" w:eastAsia="ru-RU" w:bidi="ru-RU"/>
        </w:rPr>
        <w:t>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5"/>
        <w:keepNext w:val="0"/>
        <w:keepLines w:val="0"/>
        <w:widowControl w:val="0"/>
        <w:shd w:val="clear" w:color="auto" w:fill="auto"/>
        <w:bidi w:val="0"/>
        <w:spacing w:before="0" w:after="360"/>
        <w:ind w:left="0" w:right="0" w:firstLine="0"/>
        <w:jc w:val="center"/>
      </w:pPr>
      <w:r>
        <w:rPr>
          <w:b/>
          <w:bCs/>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Хакасское УФАС России поступила жалоба Заявителя на действия комиссии по осуществлению закупок уполномоченного органа при проведении Аукциона.</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По мнению Заявителя, его права и законные интересы нарушены действиями:</w:t>
      </w:r>
    </w:p>
    <w:p>
      <w:pPr>
        <w:pStyle w:val="Style15"/>
        <w:keepNext w:val="0"/>
        <w:keepLines w:val="0"/>
        <w:widowControl w:val="0"/>
        <w:numPr>
          <w:ilvl w:val="0"/>
          <w:numId w:val="1"/>
        </w:numPr>
        <w:shd w:val="clear" w:color="auto" w:fill="auto"/>
        <w:tabs>
          <w:tab w:pos="957" w:val="left"/>
        </w:tabs>
        <w:bidi w:val="0"/>
        <w:spacing w:before="0" w:after="0"/>
        <w:ind w:left="0" w:right="0" w:firstLine="740"/>
        <w:jc w:val="both"/>
      </w:pPr>
      <w:r>
        <w:rPr>
          <w:color w:val="000000"/>
          <w:spacing w:val="0"/>
          <w:w w:val="100"/>
          <w:position w:val="0"/>
          <w:shd w:val="clear" w:color="auto" w:fill="auto"/>
          <w:lang w:val="ru-RU" w:eastAsia="ru-RU" w:bidi="ru-RU"/>
        </w:rPr>
        <w:t>комиссии по осуществлению закупки уполномоченного органа неправомерно принявшей решение об отклонении заявки ООО «ТГП»,</w:t>
      </w:r>
    </w:p>
    <w:p>
      <w:pPr>
        <w:pStyle w:val="Style15"/>
        <w:keepNext w:val="0"/>
        <w:keepLines w:val="0"/>
        <w:widowControl w:val="0"/>
        <w:numPr>
          <w:ilvl w:val="0"/>
          <w:numId w:val="1"/>
        </w:numPr>
        <w:shd w:val="clear" w:color="auto" w:fill="auto"/>
        <w:tabs>
          <w:tab w:pos="967" w:val="left"/>
        </w:tabs>
        <w:bidi w:val="0"/>
        <w:spacing w:before="0" w:after="0"/>
        <w:ind w:left="0" w:right="0" w:firstLine="740"/>
        <w:jc w:val="both"/>
      </w:pPr>
      <w:r>
        <w:rPr>
          <w:color w:val="000000"/>
          <w:spacing w:val="0"/>
          <w:w w:val="100"/>
          <w:position w:val="0"/>
          <w:shd w:val="clear" w:color="auto" w:fill="auto"/>
          <w:lang w:val="ru-RU" w:eastAsia="ru-RU" w:bidi="ru-RU"/>
        </w:rPr>
        <w:t>Заказчика, неправомерно установившем в извещение об осуществлении закупки (далее — Извещение) требование о предоставлении участником закупки в составе заявки «уведомление о включении организации в перечень экспертных центров, проводящих государственную экспертизу декларации безопасности гидротехнических сооружений, утвержденного Федеральной службой по экологическому, технологическому и атомному надзору (Ростехнадзор)».</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Представитель Заявителя в ходе рассмотрения жалобы озвучил доводы, указанные в жалобе и просил признать жалобу обоснованной.</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Представители заинтересованного лица поддержали доводы, изложенные Заявителем.</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Представители Госкомитета и Заказчика не согласились с доводами Заявителя, представив в материалы дела письменные пояснения, запрашиваемые документы и сообщили, что при проведении Аукциона Заказчик, уполномоченный орган и его комиссия действовали в соответствии с положениями Закона о контрактной системе.</w:t>
      </w:r>
    </w:p>
    <w:p>
      <w:pPr>
        <w:pStyle w:val="Style15"/>
        <w:keepNext w:val="0"/>
        <w:keepLines w:val="0"/>
        <w:widowControl w:val="0"/>
        <w:shd w:val="clear" w:color="auto" w:fill="auto"/>
        <w:bidi w:val="0"/>
        <w:spacing w:before="0" w:after="360"/>
        <w:ind w:left="0" w:right="0" w:firstLine="740"/>
        <w:jc w:val="both"/>
      </w:pPr>
      <w:r>
        <w:rPr>
          <w:color w:val="000000"/>
          <w:spacing w:val="0"/>
          <w:w w:val="100"/>
          <w:position w:val="0"/>
          <w:shd w:val="clear" w:color="auto" w:fill="auto"/>
          <w:lang w:val="ru-RU" w:eastAsia="ru-RU" w:bidi="ru-RU"/>
        </w:rPr>
        <w:t>В соответствии с пунктом 3.32 Административного регламента в заседании Комиссии объявлен перерыв до 13:00 10.03.2023.</w:t>
      </w:r>
    </w:p>
    <w:p>
      <w:pPr>
        <w:pStyle w:val="Style15"/>
        <w:keepNext w:val="0"/>
        <w:keepLines w:val="0"/>
        <w:widowControl w:val="0"/>
        <w:shd w:val="clear" w:color="auto" w:fill="auto"/>
        <w:bidi w:val="0"/>
        <w:spacing w:before="0" w:after="0"/>
        <w:ind w:left="0" w:right="0" w:firstLine="580"/>
        <w:jc w:val="both"/>
      </w:pPr>
      <w:r>
        <w:rPr>
          <w:i/>
          <w:iCs/>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соответствии с Извещением, электронными документами к нему, протоколами, составленными при определении поставщика (подрядчика, исполнителя):</w:t>
      </w:r>
    </w:p>
    <w:p>
      <w:pPr>
        <w:pStyle w:val="Style15"/>
        <w:keepNext w:val="0"/>
        <w:keepLines w:val="0"/>
        <w:widowControl w:val="0"/>
        <w:numPr>
          <w:ilvl w:val="0"/>
          <w:numId w:val="3"/>
        </w:numPr>
        <w:shd w:val="clear" w:color="auto" w:fill="auto"/>
        <w:tabs>
          <w:tab w:pos="910" w:val="left"/>
        </w:tabs>
        <w:bidi w:val="0"/>
        <w:spacing w:before="0" w:after="360"/>
        <w:ind w:left="0" w:right="0" w:firstLine="560"/>
        <w:jc w:val="both"/>
      </w:pPr>
      <w:r>
        <w:rPr>
          <w:color w:val="000000"/>
          <w:spacing w:val="0"/>
          <w:w w:val="100"/>
          <w:position w:val="0"/>
          <w:shd w:val="clear" w:color="auto" w:fill="auto"/>
          <w:lang w:val="ru-RU" w:eastAsia="ru-RU" w:bidi="ru-RU"/>
        </w:rPr>
        <w:t>Извещение размещено в ЕИС - 15.02.2023;</w:t>
      </w:r>
    </w:p>
    <w:p>
      <w:pPr>
        <w:pStyle w:val="Style15"/>
        <w:keepNext w:val="0"/>
        <w:keepLines w:val="0"/>
        <w:widowControl w:val="0"/>
        <w:numPr>
          <w:ilvl w:val="0"/>
          <w:numId w:val="3"/>
        </w:numPr>
        <w:shd w:val="clear" w:color="auto" w:fill="auto"/>
        <w:tabs>
          <w:tab w:pos="926" w:val="left"/>
        </w:tabs>
        <w:bidi w:val="0"/>
        <w:spacing w:before="0" w:after="0"/>
        <w:ind w:left="0" w:right="0" w:firstLine="560"/>
        <w:jc w:val="both"/>
      </w:pPr>
      <w:r>
        <w:rPr>
          <w:color w:val="000000"/>
          <w:spacing w:val="0"/>
          <w:w w:val="100"/>
          <w:position w:val="0"/>
          <w:shd w:val="clear" w:color="auto" w:fill="auto"/>
          <w:lang w:val="ru-RU" w:eastAsia="ru-RU" w:bidi="ru-RU"/>
        </w:rPr>
        <w:t>начальная (максимальная) цена контракта - 1 583 333,33 рублей;</w:t>
      </w:r>
    </w:p>
    <w:p>
      <w:pPr>
        <w:pStyle w:val="Style15"/>
        <w:keepNext w:val="0"/>
        <w:keepLines w:val="0"/>
        <w:widowControl w:val="0"/>
        <w:numPr>
          <w:ilvl w:val="0"/>
          <w:numId w:val="3"/>
        </w:numPr>
        <w:shd w:val="clear" w:color="auto" w:fill="auto"/>
        <w:tabs>
          <w:tab w:pos="917" w:val="left"/>
        </w:tabs>
        <w:bidi w:val="0"/>
        <w:spacing w:before="0" w:after="0"/>
        <w:ind w:left="0" w:right="0" w:firstLine="560"/>
        <w:jc w:val="both"/>
      </w:pPr>
      <w:r>
        <w:rPr>
          <w:color w:val="000000"/>
          <w:spacing w:val="0"/>
          <w:w w:val="100"/>
          <w:position w:val="0"/>
          <w:shd w:val="clear" w:color="auto" w:fill="auto"/>
          <w:lang w:val="ru-RU" w:eastAsia="ru-RU" w:bidi="ru-RU"/>
        </w:rPr>
        <w:t>способ определения поставщика (подрядчика, исполнителя) - Аукцион;</w:t>
      </w:r>
    </w:p>
    <w:p>
      <w:pPr>
        <w:pStyle w:val="Style15"/>
        <w:keepNext w:val="0"/>
        <w:keepLines w:val="0"/>
        <w:widowControl w:val="0"/>
        <w:numPr>
          <w:ilvl w:val="0"/>
          <w:numId w:val="3"/>
        </w:numPr>
        <w:shd w:val="clear" w:color="auto" w:fill="auto"/>
        <w:tabs>
          <w:tab w:pos="926" w:val="left"/>
        </w:tabs>
        <w:bidi w:val="0"/>
        <w:spacing w:before="0" w:after="0"/>
        <w:ind w:left="0" w:right="0" w:firstLine="560"/>
        <w:jc w:val="both"/>
      </w:pPr>
      <w:r>
        <w:rPr>
          <w:color w:val="000000"/>
          <w:spacing w:val="0"/>
          <w:w w:val="100"/>
          <w:position w:val="0"/>
          <w:shd w:val="clear" w:color="auto" w:fill="auto"/>
          <w:lang w:val="ru-RU" w:eastAsia="ru-RU" w:bidi="ru-RU"/>
        </w:rPr>
        <w:t>дата и время начала подачи заявок 15.02.2023 15:21;</w:t>
      </w:r>
    </w:p>
    <w:p>
      <w:pPr>
        <w:pStyle w:val="Style15"/>
        <w:keepNext w:val="0"/>
        <w:keepLines w:val="0"/>
        <w:widowControl w:val="0"/>
        <w:numPr>
          <w:ilvl w:val="0"/>
          <w:numId w:val="3"/>
        </w:numPr>
        <w:shd w:val="clear" w:color="auto" w:fill="auto"/>
        <w:tabs>
          <w:tab w:pos="917" w:val="left"/>
        </w:tabs>
        <w:bidi w:val="0"/>
        <w:spacing w:before="0" w:after="0"/>
        <w:ind w:left="0" w:right="0" w:firstLine="560"/>
        <w:jc w:val="both"/>
      </w:pPr>
      <w:r>
        <w:rPr>
          <w:color w:val="000000"/>
          <w:spacing w:val="0"/>
          <w:w w:val="100"/>
          <w:position w:val="0"/>
          <w:shd w:val="clear" w:color="auto" w:fill="auto"/>
          <w:lang w:val="ru-RU" w:eastAsia="ru-RU" w:bidi="ru-RU"/>
        </w:rPr>
        <w:t>дата и время окончания срока подачи заявок 27.02.2023 09:10;</w:t>
      </w:r>
    </w:p>
    <w:p>
      <w:pPr>
        <w:pStyle w:val="Style15"/>
        <w:keepNext w:val="0"/>
        <w:keepLines w:val="0"/>
        <w:widowControl w:val="0"/>
        <w:numPr>
          <w:ilvl w:val="0"/>
          <w:numId w:val="3"/>
        </w:numPr>
        <w:shd w:val="clear" w:color="auto" w:fill="auto"/>
        <w:tabs>
          <w:tab w:pos="928" w:val="left"/>
        </w:tabs>
        <w:bidi w:val="0"/>
        <w:spacing w:before="0" w:after="0"/>
        <w:ind w:left="0" w:right="0" w:firstLine="62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27.02.2023;</w:t>
      </w:r>
    </w:p>
    <w:p>
      <w:pPr>
        <w:pStyle w:val="Style15"/>
        <w:keepNext w:val="0"/>
        <w:keepLines w:val="0"/>
        <w:widowControl w:val="0"/>
        <w:numPr>
          <w:ilvl w:val="0"/>
          <w:numId w:val="3"/>
        </w:numPr>
        <w:shd w:val="clear" w:color="auto" w:fill="auto"/>
        <w:tabs>
          <w:tab w:pos="933" w:val="left"/>
        </w:tabs>
        <w:bidi w:val="0"/>
        <w:spacing w:before="0" w:after="0"/>
        <w:ind w:left="0" w:right="0" w:firstLine="6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01.03.2023;</w:t>
      </w:r>
    </w:p>
    <w:p>
      <w:pPr>
        <w:pStyle w:val="Style15"/>
        <w:keepNext w:val="0"/>
        <w:keepLines w:val="0"/>
        <w:widowControl w:val="0"/>
        <w:numPr>
          <w:ilvl w:val="0"/>
          <w:numId w:val="3"/>
        </w:numPr>
        <w:shd w:val="clear" w:color="auto" w:fill="auto"/>
        <w:tabs>
          <w:tab w:pos="938" w:val="left"/>
        </w:tabs>
        <w:bidi w:val="0"/>
        <w:spacing w:before="0" w:after="0"/>
        <w:ind w:left="0" w:right="0" w:firstLine="620"/>
        <w:jc w:val="both"/>
      </w:pPr>
      <w:r>
        <w:rPr>
          <w:color w:val="000000"/>
          <w:spacing w:val="0"/>
          <w:w w:val="100"/>
          <w:position w:val="0"/>
          <w:shd w:val="clear" w:color="auto" w:fill="auto"/>
          <w:lang w:val="ru-RU" w:eastAsia="ru-RU" w:bidi="ru-RU"/>
        </w:rPr>
        <w:t>в соответствии с Протоколом подачи ценовых предложений от 27.02.2023 №ЦПА1 ценовые предложения подали 4 (четыре) участника, лучшее ценовое предложение поступило от участника с идентификационным номером заявки 46 — 538 332,92 руб. (снижение НМЦК — 66 %);</w:t>
      </w:r>
    </w:p>
    <w:p>
      <w:pPr>
        <w:pStyle w:val="Style15"/>
        <w:keepNext w:val="0"/>
        <w:keepLines w:val="0"/>
        <w:widowControl w:val="0"/>
        <w:numPr>
          <w:ilvl w:val="0"/>
          <w:numId w:val="3"/>
        </w:numPr>
        <w:shd w:val="clear" w:color="auto" w:fill="auto"/>
        <w:tabs>
          <w:tab w:pos="1138" w:val="left"/>
        </w:tabs>
        <w:bidi w:val="0"/>
        <w:spacing w:before="0" w:after="0"/>
        <w:ind w:left="0" w:right="0" w:firstLine="620"/>
        <w:jc w:val="both"/>
      </w:pPr>
      <w:r>
        <w:rPr>
          <w:color w:val="000000"/>
          <w:spacing w:val="0"/>
          <w:w w:val="100"/>
          <w:position w:val="0"/>
          <w:shd w:val="clear" w:color="auto" w:fill="auto"/>
          <w:lang w:val="ru-RU" w:eastAsia="ru-RU" w:bidi="ru-RU"/>
        </w:rPr>
        <w:t>согласно Протокола подведения итогов определения поставщика (подрядчика, исполнителя) от 28.02.2023 №ИЭА1:</w:t>
      </w:r>
    </w:p>
    <w:p>
      <w:pPr>
        <w:pStyle w:val="Style15"/>
        <w:keepNext w:val="0"/>
        <w:keepLines w:val="0"/>
        <w:widowControl w:val="0"/>
        <w:numPr>
          <w:ilvl w:val="0"/>
          <w:numId w:val="5"/>
        </w:numPr>
        <w:shd w:val="clear" w:color="auto" w:fill="auto"/>
        <w:tabs>
          <w:tab w:pos="872" w:val="left"/>
        </w:tabs>
        <w:bidi w:val="0"/>
        <w:spacing w:before="0" w:after="0"/>
        <w:ind w:left="0" w:right="0" w:firstLine="620"/>
        <w:jc w:val="both"/>
      </w:pPr>
      <w:r>
        <w:rPr>
          <w:color w:val="000000"/>
          <w:spacing w:val="0"/>
          <w:w w:val="100"/>
          <w:position w:val="0"/>
          <w:shd w:val="clear" w:color="auto" w:fill="auto"/>
          <w:lang w:val="ru-RU" w:eastAsia="ru-RU" w:bidi="ru-RU"/>
        </w:rPr>
        <w:t>заявка участника закупки с идентификационным номером 186 признана соответствующей установленным требованиям извещения,</w:t>
      </w:r>
    </w:p>
    <w:p>
      <w:pPr>
        <w:pStyle w:val="Style15"/>
        <w:keepNext w:val="0"/>
        <w:keepLines w:val="0"/>
        <w:widowControl w:val="0"/>
        <w:numPr>
          <w:ilvl w:val="0"/>
          <w:numId w:val="5"/>
        </w:numPr>
        <w:shd w:val="clear" w:color="auto" w:fill="auto"/>
        <w:tabs>
          <w:tab w:pos="872" w:val="left"/>
        </w:tabs>
        <w:bidi w:val="0"/>
        <w:spacing w:before="0" w:after="0"/>
        <w:ind w:left="0" w:right="0" w:firstLine="620"/>
        <w:jc w:val="both"/>
      </w:pPr>
      <w:r>
        <w:rPr>
          <w:color w:val="000000"/>
          <w:spacing w:val="0"/>
          <w:w w:val="100"/>
          <w:position w:val="0"/>
          <w:shd w:val="clear" w:color="auto" w:fill="auto"/>
          <w:lang w:val="ru-RU" w:eastAsia="ru-RU" w:bidi="ru-RU"/>
        </w:rPr>
        <w:t>заявки участников закупки с идентификационными номерами 15, 46, 201 отклонены на основании пункта 1 части 12 статьи 48 в нарушение подпункта «н» пункта 1 части 1 статьи 43 Закона о контрактной системе, заявки участников на участие в электронном аукционе не содержат документы, подтверждающие соответствие лица требованиям, установленным в соответствии с законодательством Российской Федерации и предоставление которых предусмотрено пунктом 2 части 1 Требований к содержанию, составу заявки на участие в закупке (отсутствует уведомление о включении организации в перечень экспертных центров, проводящих государственную экспертизу декларации безопасности гидротехнических сооружений, утвержденного Федеральной службой по экологическому, технологическому и атомному надзору (Ростехнадзор));</w:t>
      </w:r>
    </w:p>
    <w:p>
      <w:pPr>
        <w:pStyle w:val="Style15"/>
        <w:keepNext w:val="0"/>
        <w:keepLines w:val="0"/>
        <w:widowControl w:val="0"/>
        <w:numPr>
          <w:ilvl w:val="0"/>
          <w:numId w:val="3"/>
        </w:numPr>
        <w:shd w:val="clear" w:color="auto" w:fill="auto"/>
        <w:tabs>
          <w:tab w:pos="1037" w:val="left"/>
        </w:tabs>
        <w:bidi w:val="0"/>
        <w:spacing w:before="0" w:after="380"/>
        <w:ind w:left="0" w:right="0" w:firstLine="560"/>
        <w:jc w:val="both"/>
      </w:pPr>
      <w:r>
        <w:rPr>
          <w:color w:val="000000"/>
          <w:spacing w:val="0"/>
          <w:w w:val="100"/>
          <w:position w:val="0"/>
          <w:shd w:val="clear" w:color="auto" w:fill="auto"/>
          <w:lang w:val="ru-RU" w:eastAsia="ru-RU" w:bidi="ru-RU"/>
        </w:rPr>
        <w:t>на момент рассмотрения жалобы Контракт не заключен.</w:t>
      </w:r>
    </w:p>
    <w:p>
      <w:pPr>
        <w:pStyle w:val="Style15"/>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отношении первого довода жалобы Комиссия приходит к следующему.</w:t>
      </w:r>
    </w:p>
    <w:p>
      <w:pPr>
        <w:pStyle w:val="Style15"/>
        <w:keepNext w:val="0"/>
        <w:keepLines w:val="0"/>
        <w:widowControl w:val="0"/>
        <w:shd w:val="clear" w:color="auto" w:fill="auto"/>
        <w:bidi w:val="0"/>
        <w:spacing w:before="0" w:after="0"/>
        <w:ind w:left="0" w:right="0" w:firstLine="620"/>
        <w:jc w:val="both"/>
        <w:sectPr>
          <w:headerReference w:type="default" r:id="rId7"/>
          <w:footerReference w:type="default" r:id="rId8"/>
          <w:headerReference w:type="even" r:id="rId9"/>
          <w:footerReference w:type="even" r:id="rId10"/>
          <w:footnotePr>
            <w:pos w:val="pageBottom"/>
            <w:numFmt w:val="decimal"/>
            <w:numRestart w:val="continuous"/>
          </w:footnotePr>
          <w:pgSz w:w="11900" w:h="16840"/>
          <w:pgMar w:top="1298" w:right="520" w:bottom="1185" w:left="1032" w:header="0" w:footer="3" w:gutter="0"/>
          <w:cols w:space="720"/>
          <w:noEndnote/>
          <w:rtlGutter w:val="0"/>
          <w:docGrid w:linePitch="360"/>
        </w:sectPr>
      </w:pPr>
      <w:r>
        <w:rPr>
          <w:color w:val="000000"/>
          <w:spacing w:val="0"/>
          <w:w w:val="100"/>
          <w:position w:val="0"/>
          <w:shd w:val="clear" w:color="auto" w:fill="auto"/>
          <w:lang w:val="ru-RU" w:eastAsia="ru-RU" w:bidi="ru-RU"/>
        </w:rPr>
        <w:t xml:space="preserve">Пунктом 12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настоящего Федерального закона, </w:t>
      </w:r>
    </w:p>
    <w:p>
      <w:pPr>
        <w:pStyle w:val="Style1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соответствии с пунктом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следующее единое требование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Согласно подпункта «н» пункта 1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соответствии с частью 5 статьи 31 Закона о контрактной системе 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Подпунктом а) пункта 1 части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w:t>
      </w:r>
      <w:r>
        <w:rPr>
          <w:color w:val="000000"/>
          <w:spacing w:val="0"/>
          <w:w w:val="100"/>
          <w:position w:val="0"/>
          <w:shd w:val="clear" w:color="auto" w:fill="auto"/>
          <w:lang w:val="ru-RU" w:eastAsia="ru-RU" w:bidi="ru-RU"/>
        </w:rPr>
        <w:t>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настоящего Федерального закона.</w:t>
      </w:r>
    </w:p>
    <w:p>
      <w:pPr>
        <w:pStyle w:val="Style15"/>
        <w:keepNext w:val="0"/>
        <w:keepLines w:val="0"/>
        <w:widowControl w:val="0"/>
        <w:shd w:val="clear" w:color="auto" w:fill="auto"/>
        <w:bidi w:val="0"/>
        <w:spacing w:before="0" w:after="360"/>
        <w:ind w:left="0" w:right="0" w:firstLine="600"/>
        <w:jc w:val="both"/>
      </w:pPr>
      <w:r>
        <w:rPr>
          <w:color w:val="000000"/>
          <w:spacing w:val="0"/>
          <w:w w:val="100"/>
          <w:position w:val="0"/>
          <w:shd w:val="clear" w:color="auto" w:fill="auto"/>
          <w:lang w:val="ru-RU" w:eastAsia="ru-RU" w:bidi="ru-RU"/>
        </w:rPr>
        <w:t>В соответствии с пунктом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Установлено, что Заказчиком в соответствии с требованиями пункта 12 части 1 статьи 42 и частью 5 статьи 31 Закона о контрактной системе, в Извещении установлено следующее:</w:t>
      </w:r>
    </w:p>
    <w:p>
      <w:pPr>
        <w:pStyle w:val="Style12"/>
        <w:keepNext w:val="0"/>
        <w:keepLines w:val="0"/>
        <w:widowControl w:val="0"/>
        <w:shd w:val="clear" w:color="auto" w:fill="auto"/>
        <w:bidi w:val="0"/>
        <w:spacing w:before="0" w:after="0" w:line="288" w:lineRule="auto"/>
        <w:ind w:left="0" w:right="0" w:firstLine="560"/>
        <w:jc w:val="both"/>
      </w:pPr>
      <w:r>
        <w:rPr>
          <w:color w:val="000000"/>
          <w:spacing w:val="0"/>
          <w:w w:val="100"/>
          <w:position w:val="0"/>
          <w:sz w:val="24"/>
          <w:szCs w:val="24"/>
          <w:shd w:val="clear" w:color="auto" w:fill="auto"/>
          <w:lang w:val="ru-RU" w:eastAsia="ru-RU" w:bidi="ru-RU"/>
        </w:rPr>
        <w:t>«Требование к участникам закупок в соответствии сп. 1 ч. 1 ст. 31 Закона № 44-ФЗ:</w:t>
      </w:r>
    </w:p>
    <w:p>
      <w:pPr>
        <w:pStyle w:val="Style12"/>
        <w:keepNext w:val="0"/>
        <w:keepLines w:val="0"/>
        <w:widowControl w:val="0"/>
        <w:shd w:val="clear" w:color="auto" w:fill="auto"/>
        <w:bidi w:val="0"/>
        <w:spacing w:before="0" w:after="360" w:line="288" w:lineRule="auto"/>
        <w:ind w:left="0" w:right="0" w:firstLine="600"/>
        <w:jc w:val="both"/>
      </w:pPr>
      <w:r>
        <w:rPr>
          <w:color w:val="000000"/>
          <w:spacing w:val="0"/>
          <w:w w:val="100"/>
          <w:position w:val="0"/>
          <w:sz w:val="24"/>
          <w:szCs w:val="24"/>
          <w:shd w:val="clear" w:color="auto" w:fill="auto"/>
          <w:lang w:val="ru-RU" w:eastAsia="ru-RU" w:bidi="ru-RU"/>
        </w:rPr>
        <w:t>Требования, предъявляемые к участникам закупки, и исчерпывающий перечень документов, которые должны быть представлены участниками закупки в соответствии с пунктом 1 части 1 статьи 31 Федерального закона № 44-ФЗ: Наличие уведомления о включении организации в перечень экспертных центров, проводящих государственную экспертизу декларации безопасности гидротехнических сооружений, утвержденного Федеральной службой по экологическому, технологическому и атомному надзору (Ростехнадзор)».</w:t>
      </w:r>
    </w:p>
    <w:p>
      <w:pPr>
        <w:pStyle w:val="Style15"/>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Согласно полученных от оператора электронной площадки АО «Сбербанк- АСТ» заявок участников Аукциона, установлено, что в составе заявки Заявителя не содержится документа, указанного в Извещении: «уведомление о включении организации в перечень экспертных центров, проводящих государственную экспертизу декларации безопасности гидротехнических сооружений, утвержденного Федеральной службой по экологическому, технологическому и атомному надзору (Ростехнадзор)».</w:t>
      </w:r>
    </w:p>
    <w:p>
      <w:pPr>
        <w:pStyle w:val="Style15"/>
        <w:keepNext w:val="0"/>
        <w:keepLines w:val="0"/>
        <w:widowControl w:val="0"/>
        <w:shd w:val="clear" w:color="auto" w:fill="auto"/>
        <w:bidi w:val="0"/>
        <w:spacing w:before="0" w:after="360"/>
        <w:ind w:left="0" w:right="0" w:firstLine="600"/>
        <w:jc w:val="both"/>
      </w:pPr>
      <w:r>
        <w:rPr>
          <w:color w:val="000000"/>
          <w:spacing w:val="0"/>
          <w:w w:val="100"/>
          <w:position w:val="0"/>
          <w:shd w:val="clear" w:color="auto" w:fill="auto"/>
          <w:lang w:val="ru-RU" w:eastAsia="ru-RU" w:bidi="ru-RU"/>
        </w:rPr>
        <w:t xml:space="preserve">Комиссия, изучив в полном объеме Извещение об Аукционе и электронные документы к нему, а также документы, представленные в составе заявки ООО «ТГП», письменные пояснения Госкомитета и Заказчика, заслушав доводы представителей сторон, приходит к выводу, что комиссия по осуществлению закупок уполномоченного органа, которая в силу подпункта а) пункта 1 части 5 статьи 49 Закона о контрактной системе, рассматривает заявки на участие в электронном аукционе </w:t>
      </w:r>
      <w:r>
        <w:rPr>
          <w:color w:val="000000"/>
          <w:spacing w:val="0"/>
          <w:w w:val="100"/>
          <w:position w:val="0"/>
          <w:u w:val="single"/>
          <w:shd w:val="clear" w:color="auto" w:fill="auto"/>
          <w:lang w:val="ru-RU" w:eastAsia="ru-RU" w:bidi="ru-RU"/>
        </w:rPr>
        <w:t>исключительно</w:t>
      </w:r>
      <w:r>
        <w:rPr>
          <w:color w:val="000000"/>
          <w:spacing w:val="0"/>
          <w:w w:val="100"/>
          <w:position w:val="0"/>
          <w:shd w:val="clear" w:color="auto" w:fill="auto"/>
          <w:lang w:val="ru-RU" w:eastAsia="ru-RU" w:bidi="ru-RU"/>
        </w:rPr>
        <w:t xml:space="preserve"> на соответствие требованиям, установленным в</w:t>
      </w:r>
    </w:p>
    <w:p>
      <w:pPr>
        <w:pStyle w:val="Style1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Извещении, установив несоответствие участника закупки требованиям, установленным в Извещении в соответствии с пунктом 1 части 1 статьи 31 Закона о контрактной системе, правомерно приняла решение об отклонении заявки ООО «ТГП» на основании пункта 1 части 12 статьи 48, поскольку в нарушение подпункта «н» пункта 1 части 1 статьи 43 Закона о контрактной системе заявка участника ООО «ТГП» не содержала документ, подтверждающий соответствие лица требованиям, установленным в Извещении: «уведомление о включении организации в перечень экспертных центров, проводящих государственную экспертизу декларации безопасности гидротехнических сооружений, утвержденного Федеральной службой по экологическому, технологическому и атомному надзору (Ростехнадзор))».</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силу частей 1 и 2 статьи 105 Закона о контрактной системе обязанность доказывания нарушения в том числе комиссией уполномоченного органа своих прав и законных интересов лежит на подателе жалобы, однако, Заявителем в составе жалобы не представлено документов и сведений, подтверждающих обоснованность указанного довода жалобы, а также свидетельствующих о нарушении комиссией по осуществлению закупок уполномоченного органа положений Закона о контрактной системе при определении победителя Аукциона. Доказательств обратного Заявителем в материалы дела не представлено.</w:t>
      </w:r>
    </w:p>
    <w:p>
      <w:pPr>
        <w:pStyle w:val="Style15"/>
        <w:keepNext w:val="0"/>
        <w:keepLines w:val="0"/>
        <w:widowControl w:val="0"/>
        <w:shd w:val="clear" w:color="auto" w:fill="auto"/>
        <w:bidi w:val="0"/>
        <w:spacing w:before="0" w:after="360"/>
        <w:ind w:left="0" w:right="0" w:firstLine="580"/>
        <w:jc w:val="both"/>
      </w:pPr>
      <w:r>
        <w:rPr>
          <w:color w:val="000000"/>
          <w:spacing w:val="0"/>
          <w:w w:val="100"/>
          <w:position w:val="0"/>
          <w:shd w:val="clear" w:color="auto" w:fill="auto"/>
          <w:lang w:val="ru-RU" w:eastAsia="ru-RU" w:bidi="ru-RU"/>
        </w:rPr>
        <w:t>На основании изложенного, Комиссия приходит к выводу, что довод жалобы Заявителя не нашел своего подтверждения и является необоснованным.</w:t>
      </w:r>
    </w:p>
    <w:p>
      <w:pPr>
        <w:pStyle w:val="Style15"/>
        <w:keepNext w:val="0"/>
        <w:keepLines w:val="0"/>
        <w:widowControl w:val="0"/>
        <w:shd w:val="clear" w:color="auto" w:fill="auto"/>
        <w:bidi w:val="0"/>
        <w:spacing w:before="0" w:after="0"/>
        <w:ind w:left="0" w:right="0" w:firstLine="580"/>
        <w:jc w:val="both"/>
      </w:pPr>
      <w:r>
        <w:rPr>
          <w:i/>
          <w:iCs/>
          <w:color w:val="000000"/>
          <w:spacing w:val="0"/>
          <w:w w:val="100"/>
          <w:position w:val="0"/>
          <w:shd w:val="clear" w:color="auto" w:fill="auto"/>
          <w:lang w:val="ru-RU" w:eastAsia="ru-RU" w:bidi="ru-RU"/>
        </w:rPr>
        <w:t>В отношении второго довода жалобы Комиссия приходит к следующим выводам.</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Согласно пункта 1 части 2 статьи 105 Закона о контрактной системе </w:t>
      </w:r>
      <w:r>
        <w:rPr>
          <w:color w:val="000000"/>
          <w:spacing w:val="0"/>
          <w:w w:val="100"/>
          <w:position w:val="0"/>
          <w:u w:val="single"/>
          <w:shd w:val="clear" w:color="auto" w:fill="auto"/>
          <w:lang w:val="ru-RU" w:eastAsia="ru-RU" w:bidi="ru-RU"/>
        </w:rPr>
        <w:t>жалоба на положения извещения об осуществлении закупки</w:t>
      </w:r>
      <w:r>
        <w:rPr>
          <w:color w:val="000000"/>
          <w:spacing w:val="0"/>
          <w:w w:val="100"/>
          <w:position w:val="0"/>
          <w:shd w:val="clear" w:color="auto" w:fill="auto"/>
          <w:lang w:val="ru-RU" w:eastAsia="ru-RU" w:bidi="ru-RU"/>
        </w:rPr>
        <w:t xml:space="preserve">, документации о закупке (в случае, если настоящим Федеральным законом предусмотрена документация о закупке) </w:t>
      </w:r>
      <w:r>
        <w:rPr>
          <w:color w:val="000000"/>
          <w:spacing w:val="0"/>
          <w:w w:val="100"/>
          <w:position w:val="0"/>
          <w:u w:val="single"/>
          <w:shd w:val="clear" w:color="auto" w:fill="auto"/>
          <w:lang w:val="ru-RU" w:eastAsia="ru-RU" w:bidi="ru-RU"/>
        </w:rPr>
        <w:t>может быть подана до окончания срока подачи заявок на участие в закупке</w:t>
      </w:r>
      <w:r>
        <w:rPr>
          <w:color w:val="000000"/>
          <w:spacing w:val="0"/>
          <w:w w:val="100"/>
          <w:position w:val="0"/>
          <w:shd w:val="clear" w:color="auto" w:fill="auto"/>
          <w:lang w:val="ru-RU" w:eastAsia="ru-RU" w:bidi="ru-RU"/>
        </w:rPr>
        <w:t>.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Согласно Извещению, окончание срока подачи заявок на участие в закупке - 27.02.2023.</w:t>
      </w:r>
    </w:p>
    <w:p>
      <w:pPr>
        <w:pStyle w:val="Style15"/>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Жалоба подана через функционал ЕИС 02.03.2023, то есть по истечении </w:t>
      </w:r>
      <w:r>
        <w:rPr>
          <w:color w:val="000000"/>
          <w:spacing w:val="0"/>
          <w:w w:val="100"/>
          <w:position w:val="0"/>
          <w:shd w:val="clear" w:color="auto" w:fill="auto"/>
          <w:lang w:val="ru-RU" w:eastAsia="ru-RU" w:bidi="ru-RU"/>
        </w:rPr>
        <w:t>регламентированного пунктом 1 части 2 статьи 105 Закона о контрактной системе срока.</w:t>
      </w:r>
    </w:p>
    <w:p>
      <w:pPr>
        <w:pStyle w:val="Style15"/>
        <w:keepNext w:val="0"/>
        <w:keepLines w:val="0"/>
        <w:widowControl w:val="0"/>
        <w:shd w:val="clear" w:color="auto" w:fill="auto"/>
        <w:bidi w:val="0"/>
        <w:spacing w:before="0" w:after="360"/>
        <w:ind w:left="0" w:right="0" w:firstLine="620"/>
        <w:jc w:val="both"/>
      </w:pPr>
      <w:r>
        <w:rPr>
          <w:color w:val="000000"/>
          <w:spacing w:val="0"/>
          <w:w w:val="100"/>
          <w:position w:val="0"/>
          <w:shd w:val="clear" w:color="auto" w:fill="auto"/>
          <w:lang w:val="ru-RU" w:eastAsia="ru-RU" w:bidi="ru-RU"/>
        </w:rPr>
        <w:t>Таким образом, довод Заявителя о том, что Заказчиком неправомерно установлено в Извещении требование о предоставлении участником закупки в составе заявки «уведомления о включении организации в перечень экспертных центров, проводящих государственную экспертизу декларации безопасности гидротехнических сооружений, утвержденного Федеральной службой по экологическому, технологическому и атомному надзору (Ростехнадзор)» не подлежит рассмотрению Комиссией, поскольку Заявителем пропущен срок обжалования положений Извещения о проведении Аукциона.</w:t>
      </w:r>
    </w:p>
    <w:p>
      <w:pPr>
        <w:pStyle w:val="Style15"/>
        <w:keepNext w:val="0"/>
        <w:keepLines w:val="0"/>
        <w:widowControl w:val="0"/>
        <w:shd w:val="clear" w:color="auto" w:fill="auto"/>
        <w:bidi w:val="0"/>
        <w:spacing w:before="0" w:after="0"/>
        <w:ind w:left="0" w:right="0" w:firstLine="620"/>
        <w:jc w:val="both"/>
      </w:pPr>
      <w:r>
        <w:rPr>
          <w:i/>
          <w:iCs/>
          <w:color w:val="000000"/>
          <w:spacing w:val="0"/>
          <w:w w:val="100"/>
          <w:position w:val="0"/>
          <w:shd w:val="clear" w:color="auto" w:fill="auto"/>
          <w:lang w:val="ru-RU" w:eastAsia="ru-RU" w:bidi="ru-RU"/>
        </w:rPr>
        <w:t>В результате проведения внеплановой проверки установлено следующее.</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В соответствии с пунктом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следующее единое требование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 xml:space="preserve">Согласно части 6 статьи 31 Закона о контрактной системе </w:t>
      </w:r>
      <w:r>
        <w:rPr>
          <w:color w:val="000000"/>
          <w:spacing w:val="0"/>
          <w:w w:val="100"/>
          <w:position w:val="0"/>
          <w:u w:val="single"/>
          <w:shd w:val="clear" w:color="auto" w:fill="auto"/>
          <w:lang w:val="ru-RU" w:eastAsia="ru-RU" w:bidi="ru-RU"/>
        </w:rPr>
        <w:t>Заказчики не вправе устанавливать требования к участникам закупок в нарушение требований настоящего Федерального закона.</w:t>
      </w:r>
    </w:p>
    <w:p>
      <w:pPr>
        <w:pStyle w:val="Style15"/>
        <w:keepNext w:val="0"/>
        <w:keepLines w:val="0"/>
        <w:widowControl w:val="0"/>
        <w:shd w:val="clear" w:color="auto" w:fill="auto"/>
        <w:bidi w:val="0"/>
        <w:spacing w:before="0" w:after="0"/>
        <w:ind w:left="0" w:right="0" w:firstLine="620"/>
        <w:jc w:val="both"/>
        <w:sectPr>
          <w:headerReference w:type="default" r:id="rId11"/>
          <w:footerReference w:type="default" r:id="rId12"/>
          <w:headerReference w:type="even" r:id="rId13"/>
          <w:footerReference w:type="even" r:id="rId14"/>
          <w:headerReference w:type="first" r:id="rId15"/>
          <w:footerReference w:type="first" r:id="rId16"/>
          <w:footnotePr>
            <w:pos w:val="pageBottom"/>
            <w:numFmt w:val="decimal"/>
            <w:numRestart w:val="continuous"/>
          </w:footnotePr>
          <w:pgSz w:w="11900" w:h="16840"/>
          <w:pgMar w:top="1298" w:right="520" w:bottom="1185" w:left="1032" w:header="0" w:footer="3" w:gutter="0"/>
          <w:cols w:space="720"/>
          <w:noEndnote/>
          <w:titlePg/>
          <w:rtlGutter w:val="0"/>
          <w:docGrid w:linePitch="360"/>
        </w:sectPr>
      </w:pPr>
      <w:r>
        <w:rPr>
          <w:color w:val="000000"/>
          <w:spacing w:val="0"/>
          <w:w w:val="100"/>
          <w:position w:val="0"/>
          <w:shd w:val="clear" w:color="auto" w:fill="auto"/>
          <w:lang w:val="ru-RU" w:eastAsia="ru-RU" w:bidi="ru-RU"/>
        </w:rPr>
        <w:t xml:space="preserve">Пунктом 1 части 1 статьи 33 Закона о контрактной системе установлено,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Pr>
          <w:color w:val="000000"/>
          <w:spacing w:val="0"/>
          <w:w w:val="100"/>
          <w:position w:val="0"/>
          <w:u w:val="single"/>
          <w:shd w:val="clear" w:color="auto" w:fill="auto"/>
          <w:lang w:val="ru-RU" w:eastAsia="ru-RU" w:bidi="ru-RU"/>
        </w:rPr>
        <w:t xml:space="preserve">В описание объекта закупки не должны включаться </w:t>
      </w:r>
      <w:r>
        <w:rPr>
          <w:color w:val="000000"/>
          <w:spacing w:val="0"/>
          <w:w w:val="100"/>
          <w:position w:val="0"/>
          <w:shd w:val="clear" w:color="auto" w:fill="auto"/>
          <w:lang w:val="ru-RU" w:eastAsia="ru-RU" w:bidi="ru-RU"/>
        </w:rPr>
        <w:t xml:space="preserve">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w:t>
      </w:r>
      <w:r>
        <w:rPr>
          <w:color w:val="000000"/>
          <w:spacing w:val="0"/>
          <w:w w:val="100"/>
          <w:position w:val="0"/>
          <w:u w:val="single"/>
          <w:shd w:val="clear" w:color="auto" w:fill="auto"/>
          <w:lang w:val="ru-RU" w:eastAsia="ru-RU" w:bidi="ru-RU"/>
        </w:rPr>
        <w:t xml:space="preserve">требования к </w:t>
      </w:r>
      <w:r>
        <w:rPr>
          <w:color w:val="000000"/>
          <w:spacing w:val="0"/>
          <w:w w:val="100"/>
          <w:position w:val="0"/>
          <w:shd w:val="clear" w:color="auto" w:fill="auto"/>
          <w:lang w:val="ru-RU" w:eastAsia="ru-RU" w:bidi="ru-RU"/>
        </w:rPr>
        <w:t xml:space="preserve">товарам, информации, работам, </w:t>
      </w:r>
      <w:r>
        <w:rPr>
          <w:color w:val="000000"/>
          <w:spacing w:val="0"/>
          <w:w w:val="100"/>
          <w:position w:val="0"/>
          <w:u w:val="single"/>
          <w:shd w:val="clear" w:color="auto" w:fill="auto"/>
          <w:lang w:val="ru-RU" w:eastAsia="ru-RU" w:bidi="ru-RU"/>
        </w:rPr>
        <w:t>услугам при условии, что такие требования или указания влекут за собой ограничение количества участников закупки</w:t>
      </w:r>
      <w:r>
        <w:rPr>
          <w:color w:val="000000"/>
          <w:spacing w:val="0"/>
          <w:w w:val="100"/>
          <w:position w:val="0"/>
          <w:shd w:val="clear" w:color="auto" w:fill="auto"/>
          <w:lang w:val="ru-RU" w:eastAsia="ru-RU" w:bidi="ru-RU"/>
        </w:rPr>
        <w:t>.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w:t>
      </w:r>
    </w:p>
    <w:p>
      <w:pPr>
        <w:pStyle w:val="Style15"/>
        <w:keepNext w:val="0"/>
        <w:keepLines w:val="0"/>
        <w:widowControl w:val="0"/>
        <w:shd w:val="clear" w:color="auto" w:fill="auto"/>
        <w:bidi w:val="0"/>
        <w:spacing w:before="0" w:after="300" w:line="324" w:lineRule="auto"/>
        <w:ind w:left="0" w:right="0" w:firstLine="5080"/>
        <w:jc w:val="both"/>
      </w:pPr>
      <w:r>
        <w:rPr>
          <w:color w:val="000000"/>
          <w:spacing w:val="0"/>
          <w:w w:val="100"/>
          <w:position w:val="0"/>
          <w:shd w:val="clear" w:color="auto" w:fill="auto"/>
          <w:lang w:val="ru-RU" w:eastAsia="ru-RU" w:bidi="ru-RU"/>
        </w:rPr>
        <w:t>9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Объектом закупки является </w:t>
      </w:r>
      <w:r>
        <w:rPr>
          <w:color w:val="000000"/>
          <w:spacing w:val="0"/>
          <w:w w:val="100"/>
          <w:position w:val="0"/>
          <w:u w:val="single"/>
          <w:shd w:val="clear" w:color="auto" w:fill="auto"/>
          <w:lang w:val="ru-RU" w:eastAsia="ru-RU" w:bidi="ru-RU"/>
        </w:rPr>
        <w:t>оказание услуг по разработке декларации безопасности гидротехнического сооружения</w:t>
      </w:r>
      <w:r>
        <w:rPr>
          <w:color w:val="000000"/>
          <w:spacing w:val="0"/>
          <w:w w:val="100"/>
          <w:position w:val="0"/>
          <w:shd w:val="clear" w:color="auto" w:fill="auto"/>
          <w:lang w:val="ru-RU" w:eastAsia="ru-RU" w:bidi="ru-RU"/>
        </w:rPr>
        <w:t xml:space="preserve"> «Дамба на р. Сарала в с. Орджоникидзевское Орджоникидзевского района Республики Хакасия» и пакета документов, необходимых для безопасной эксплуатации гидротехнического сооружения и </w:t>
      </w:r>
      <w:r>
        <w:rPr>
          <w:color w:val="000000"/>
          <w:spacing w:val="0"/>
          <w:w w:val="100"/>
          <w:position w:val="0"/>
          <w:u w:val="single"/>
          <w:shd w:val="clear" w:color="auto" w:fill="auto"/>
          <w:lang w:val="ru-RU" w:eastAsia="ru-RU" w:bidi="ru-RU"/>
        </w:rPr>
        <w:t>проведение экспертизы декларации безопасности гидротехнического сооружения.</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Статьями 10 и 11 Федерального закона от 21.07.1997 № 117-ФЗ «О безопасности гидротехнических сооружений» в том числе установлено:</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u w:val="single"/>
          <w:shd w:val="clear" w:color="auto" w:fill="auto"/>
          <w:lang w:val="ru-RU" w:eastAsia="ru-RU" w:bidi="ru-RU"/>
        </w:rPr>
        <w:t>Статья 10, Декларация безопасности гидротехнического сооружения.</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Декларация безопасности гидротехнического сооружения является основным документом, который содержит сведения о соответствии гидротехнического сооружения критериям безопасности.</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Содержание декларации безопасности гидротехнического сооружения, порядок ее разработки и представления в уполномоченные федеральные органы исполнительной власти устанавливает Правительство Российской Федерации с учетом специфики гидротехнического сооружения.</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Собственник гидротехнического сооружения и (или) эксплуатирующая организация составляют и представляют в уполномоченные федеральные органы исполнительной власти декларацию безопасности гидротехнического сооружения при эксплуатации гидротехнического сооружения I, II или III класса, а также при консервации и ликвидации гидротехнического сооружения I, II, III или IV класса.</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Внесение в Регистр сведений о гидротехническом сооружении, находящемся в эксплуатации, является основанием для выдачи разрешения на эксплуатацию такого гидротехнического сооружения.</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u w:val="single"/>
          <w:shd w:val="clear" w:color="auto" w:fill="auto"/>
          <w:lang w:val="ru-RU" w:eastAsia="ru-RU" w:bidi="ru-RU"/>
        </w:rPr>
        <w:t xml:space="preserve">Статья 11. </w:t>
      </w:r>
      <w:r>
        <w:rPr>
          <w:color w:val="000000"/>
          <w:spacing w:val="0"/>
          <w:w w:val="100"/>
          <w:position w:val="0"/>
          <w:shd w:val="clear" w:color="auto" w:fill="auto"/>
          <w:lang w:val="ru-RU" w:eastAsia="ru-RU" w:bidi="ru-RU"/>
        </w:rPr>
        <w:t xml:space="preserve">Экспертиза проектной документации гидротехнических сооружений и </w:t>
      </w:r>
      <w:r>
        <w:rPr>
          <w:color w:val="000000"/>
          <w:spacing w:val="0"/>
          <w:w w:val="100"/>
          <w:position w:val="0"/>
          <w:u w:val="single"/>
          <w:shd w:val="clear" w:color="auto" w:fill="auto"/>
          <w:lang w:val="ru-RU" w:eastAsia="ru-RU" w:bidi="ru-RU"/>
        </w:rPr>
        <w:t>экспертиза деклараций безопасности гидротехнических сооружений.</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Для проведения государственной экспертизы деклараций безопасности гидротехнических сооружений могут привлекаться научно-исследовательские и проектные организации.</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Государственная экспертиза деклараций безопасности гидротехнических сооружений проводится по инициативе собственников гидротехнических сооружений и (или) эксплуатирующих организаций, в том числе в случае их </w:t>
      </w:r>
      <w:r>
        <w:rPr>
          <w:color w:val="000000"/>
          <w:spacing w:val="0"/>
          <w:w w:val="100"/>
          <w:position w:val="0"/>
          <w:shd w:val="clear" w:color="auto" w:fill="auto"/>
          <w:lang w:val="ru-RU" w:eastAsia="ru-RU" w:bidi="ru-RU"/>
        </w:rPr>
        <w:t>несогласия с предписаниями федеральных органов исполнительной власти, уполномоченных на осуществление федерального государственного надзора в области безопасности гидротехнических сооружений.</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Уполномоченными федеральными органами исполнительной власти на основании заключения государственной экспертизы могут быть приняты решения об утверждении декларации безопасности гидротехнического сооружения, о выдаче соответствующего разрешения или об отказе в выдаче такого разрешения.</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Постановлением Правительства РФ от 20.11.2020 № 1892 «О декларировании безопасности гидротехнических сооружений» (далее — Постановление Правительства № 1892) утверждены:</w:t>
      </w:r>
    </w:p>
    <w:p>
      <w:pPr>
        <w:pStyle w:val="Style15"/>
        <w:keepNext w:val="0"/>
        <w:keepLines w:val="0"/>
        <w:widowControl w:val="0"/>
        <w:numPr>
          <w:ilvl w:val="0"/>
          <w:numId w:val="7"/>
        </w:numPr>
        <w:shd w:val="clear" w:color="auto" w:fill="auto"/>
        <w:tabs>
          <w:tab w:pos="862" w:val="left"/>
        </w:tabs>
        <w:bidi w:val="0"/>
        <w:spacing w:before="0" w:after="0"/>
        <w:ind w:left="0" w:right="0" w:firstLine="620"/>
        <w:jc w:val="both"/>
      </w:pPr>
      <w:r>
        <w:rPr>
          <w:color w:val="000000"/>
          <w:spacing w:val="0"/>
          <w:w w:val="100"/>
          <w:position w:val="0"/>
          <w:shd w:val="clear" w:color="auto" w:fill="auto"/>
          <w:lang w:val="ru-RU" w:eastAsia="ru-RU" w:bidi="ru-RU"/>
        </w:rPr>
        <w:t>Положение о декларировании безопасности гидротехнических сооружений (далее - Положение);</w:t>
      </w:r>
    </w:p>
    <w:p>
      <w:pPr>
        <w:pStyle w:val="Style15"/>
        <w:keepNext w:val="0"/>
        <w:keepLines w:val="0"/>
        <w:widowControl w:val="0"/>
        <w:numPr>
          <w:ilvl w:val="0"/>
          <w:numId w:val="7"/>
        </w:numPr>
        <w:shd w:val="clear" w:color="auto" w:fill="auto"/>
        <w:tabs>
          <w:tab w:pos="862" w:val="left"/>
        </w:tabs>
        <w:bidi w:val="0"/>
        <w:spacing w:before="0" w:after="0"/>
        <w:ind w:left="0" w:right="0" w:firstLine="620"/>
        <w:jc w:val="both"/>
      </w:pPr>
      <w:r>
        <w:rPr>
          <w:color w:val="000000"/>
          <w:spacing w:val="0"/>
          <w:w w:val="100"/>
          <w:position w:val="0"/>
          <w:shd w:val="clear" w:color="auto" w:fill="auto"/>
          <w:lang w:val="ru-RU" w:eastAsia="ru-RU" w:bidi="ru-RU"/>
        </w:rPr>
        <w:t>Правила проведения государственной экспертизы декларации безопасности гидротехнического сооружения (далее - Правила).</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Положением установлено в том числе следующее:</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1. Настоящее Положение устанавливает содержание декларации безопасности гидротехнического сооружения (далее - декларация безопасности), порядок ее разработки и представления на утверждение в федеральные органы исполнительной власти, уполномоченные на проведение федерального государственного надзора в области безопасности гидротехнических сооружений (далее - орган государственного надзора).</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2. Декларация безопасности составляется собственником гидротехнического сооружения и (или) эксплуатирующей организацией (далее - декларант).</w:t>
      </w:r>
    </w:p>
    <w:p>
      <w:pPr>
        <w:pStyle w:val="Style15"/>
        <w:keepNext w:val="0"/>
        <w:keepLines w:val="0"/>
        <w:widowControl w:val="0"/>
        <w:numPr>
          <w:ilvl w:val="0"/>
          <w:numId w:val="9"/>
        </w:numPr>
        <w:shd w:val="clear" w:color="auto" w:fill="auto"/>
        <w:tabs>
          <w:tab w:pos="938" w:val="left"/>
        </w:tabs>
        <w:bidi w:val="0"/>
        <w:spacing w:before="0" w:after="0"/>
        <w:ind w:left="0" w:right="0" w:firstLine="620"/>
        <w:jc w:val="both"/>
      </w:pPr>
      <w:r>
        <w:rPr>
          <w:color w:val="000000"/>
          <w:spacing w:val="0"/>
          <w:w w:val="100"/>
          <w:position w:val="0"/>
          <w:shd w:val="clear" w:color="auto" w:fill="auto"/>
          <w:lang w:val="ru-RU" w:eastAsia="ru-RU" w:bidi="ru-RU"/>
        </w:rPr>
        <w:t>Декларация безопасности подписывается декларантом и должна содержать:</w:t>
      </w:r>
    </w:p>
    <w:p>
      <w:pPr>
        <w:pStyle w:val="Style15"/>
        <w:keepNext w:val="0"/>
        <w:keepLines w:val="0"/>
        <w:widowControl w:val="0"/>
        <w:numPr>
          <w:ilvl w:val="0"/>
          <w:numId w:val="11"/>
        </w:numPr>
        <w:shd w:val="clear" w:color="auto" w:fill="auto"/>
        <w:tabs>
          <w:tab w:pos="932" w:val="left"/>
        </w:tabs>
        <w:bidi w:val="0"/>
        <w:spacing w:before="0" w:after="0"/>
        <w:ind w:left="0" w:right="0" w:firstLine="620"/>
        <w:jc w:val="both"/>
      </w:pPr>
      <w:r>
        <w:rPr>
          <w:color w:val="000000"/>
          <w:spacing w:val="0"/>
          <w:w w:val="100"/>
          <w:position w:val="0"/>
          <w:shd w:val="clear" w:color="auto" w:fill="auto"/>
          <w:lang w:val="ru-RU" w:eastAsia="ru-RU" w:bidi="ru-RU"/>
        </w:rPr>
        <w:t>общую информацию, включающую данные о гидротехническом сооружении, меры по обеспечению безопасности, предусмотренные проектной документацией, правилами эксплуатации гидротехнического сооружения, предписаниями органа государственного надзора 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 сведения о величине финансового обеспечения гражданской ответственности за вред, который может быть причинен в результате аварии гидротехнического сооружения, основные сведения о собственнике и эксплуатирующей организации;</w:t>
      </w:r>
    </w:p>
    <w:p>
      <w:pPr>
        <w:pStyle w:val="Style15"/>
        <w:keepNext w:val="0"/>
        <w:keepLines w:val="0"/>
        <w:widowControl w:val="0"/>
        <w:numPr>
          <w:ilvl w:val="0"/>
          <w:numId w:val="11"/>
        </w:numPr>
        <w:shd w:val="clear" w:color="auto" w:fill="auto"/>
        <w:tabs>
          <w:tab w:pos="922" w:val="left"/>
        </w:tabs>
        <w:bidi w:val="0"/>
        <w:spacing w:before="0" w:after="0"/>
        <w:ind w:left="0" w:right="0" w:firstLine="620"/>
        <w:jc w:val="both"/>
      </w:pPr>
      <w:r>
        <w:rPr>
          <w:color w:val="000000"/>
          <w:spacing w:val="0"/>
          <w:w w:val="100"/>
          <w:position w:val="0"/>
          <w:shd w:val="clear" w:color="auto" w:fill="auto"/>
          <w:lang w:val="ru-RU" w:eastAsia="ru-RU" w:bidi="ru-RU"/>
        </w:rPr>
        <w:t>анализ и оценку безопасности гидротехнического сооружения, включая определение возможных источников опасности;</w:t>
      </w:r>
    </w:p>
    <w:p>
      <w:pPr>
        <w:pStyle w:val="Style15"/>
        <w:keepNext w:val="0"/>
        <w:keepLines w:val="0"/>
        <w:widowControl w:val="0"/>
        <w:numPr>
          <w:ilvl w:val="0"/>
          <w:numId w:val="11"/>
        </w:numPr>
        <w:shd w:val="clear" w:color="auto" w:fill="auto"/>
        <w:tabs>
          <w:tab w:pos="927" w:val="left"/>
        </w:tabs>
        <w:bidi w:val="0"/>
        <w:spacing w:before="0" w:after="0"/>
        <w:ind w:left="0" w:right="0" w:firstLine="620"/>
        <w:jc w:val="both"/>
      </w:pPr>
      <w:r>
        <w:rPr>
          <w:color w:val="000000"/>
          <w:spacing w:val="0"/>
          <w:w w:val="100"/>
          <w:position w:val="0"/>
          <w:shd w:val="clear" w:color="auto" w:fill="auto"/>
          <w:lang w:val="ru-RU" w:eastAsia="ru-RU" w:bidi="ru-RU"/>
        </w:rPr>
        <w:t xml:space="preserve">сведения об обеспечении готовности эксплуатирующей организации к локализации и ликвидации чрезвычайных ситуаций и защите населения и </w:t>
      </w:r>
      <w:r>
        <w:rPr>
          <w:color w:val="000000"/>
          <w:spacing w:val="0"/>
          <w:w w:val="100"/>
          <w:position w:val="0"/>
          <w:shd w:val="clear" w:color="auto" w:fill="auto"/>
          <w:lang w:val="ru-RU" w:eastAsia="ru-RU" w:bidi="ru-RU"/>
        </w:rPr>
        <w:t>территорий в случае аварии гидротехнического сооружения;</w:t>
      </w:r>
    </w:p>
    <w:p>
      <w:pPr>
        <w:pStyle w:val="Style15"/>
        <w:keepNext w:val="0"/>
        <w:keepLines w:val="0"/>
        <w:widowControl w:val="0"/>
        <w:numPr>
          <w:ilvl w:val="0"/>
          <w:numId w:val="11"/>
        </w:numPr>
        <w:shd w:val="clear" w:color="auto" w:fill="auto"/>
        <w:tabs>
          <w:tab w:pos="918" w:val="left"/>
        </w:tabs>
        <w:bidi w:val="0"/>
        <w:spacing w:before="0" w:after="0"/>
        <w:ind w:left="0" w:right="0" w:firstLine="600"/>
        <w:jc w:val="both"/>
      </w:pPr>
      <w:r>
        <w:rPr>
          <w:color w:val="000000"/>
          <w:spacing w:val="0"/>
          <w:w w:val="100"/>
          <w:position w:val="0"/>
          <w:shd w:val="clear" w:color="auto" w:fill="auto"/>
          <w:lang w:val="ru-RU" w:eastAsia="ru-RU" w:bidi="ru-RU"/>
        </w:rPr>
        <w:t>порядок информирования населения, органа государственного надзора,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 органов исполнительной власти субъектов Российской Федерации и органов местного самоуправления о возможных и возникших на гидротехническом сооружении аварийных ситуациях;</w:t>
      </w:r>
    </w:p>
    <w:p>
      <w:pPr>
        <w:pStyle w:val="Style15"/>
        <w:keepNext w:val="0"/>
        <w:keepLines w:val="0"/>
        <w:widowControl w:val="0"/>
        <w:numPr>
          <w:ilvl w:val="0"/>
          <w:numId w:val="11"/>
        </w:numPr>
        <w:shd w:val="clear" w:color="auto" w:fill="auto"/>
        <w:tabs>
          <w:tab w:pos="942" w:val="left"/>
        </w:tabs>
        <w:bidi w:val="0"/>
        <w:spacing w:before="0" w:after="0"/>
        <w:ind w:left="0" w:right="0" w:firstLine="600"/>
        <w:jc w:val="both"/>
      </w:pPr>
      <w:r>
        <w:rPr>
          <w:color w:val="000000"/>
          <w:spacing w:val="0"/>
          <w:w w:val="100"/>
          <w:position w:val="0"/>
          <w:shd w:val="clear" w:color="auto" w:fill="auto"/>
          <w:lang w:val="ru-RU" w:eastAsia="ru-RU" w:bidi="ru-RU"/>
        </w:rPr>
        <w:t>оценку уровня безопасности гидротехнических сооружений, а также перечень необходимых мероприятий по обеспечению безопасности;</w:t>
      </w:r>
    </w:p>
    <w:p>
      <w:pPr>
        <w:pStyle w:val="Style15"/>
        <w:keepNext w:val="0"/>
        <w:keepLines w:val="0"/>
        <w:widowControl w:val="0"/>
        <w:numPr>
          <w:ilvl w:val="0"/>
          <w:numId w:val="11"/>
        </w:numPr>
        <w:shd w:val="clear" w:color="auto" w:fill="auto"/>
        <w:tabs>
          <w:tab w:pos="913" w:val="left"/>
        </w:tabs>
        <w:bidi w:val="0"/>
        <w:spacing w:before="0" w:after="0"/>
        <w:ind w:left="0" w:right="0" w:firstLine="600"/>
        <w:jc w:val="both"/>
      </w:pPr>
      <w:r>
        <w:rPr>
          <w:color w:val="000000"/>
          <w:spacing w:val="0"/>
          <w:w w:val="100"/>
          <w:position w:val="0"/>
          <w:shd w:val="clear" w:color="auto" w:fill="auto"/>
          <w:lang w:val="ru-RU" w:eastAsia="ru-RU" w:bidi="ru-RU"/>
        </w:rPr>
        <w:t>порядок осуществления мероприятий по консервации или ликвидации (в случае утраты или отсутствия проектной документации) гидротехнического сооружения (при консервации или ликвидации гидротехнических сооружений).</w:t>
      </w:r>
    </w:p>
    <w:p>
      <w:pPr>
        <w:pStyle w:val="Style15"/>
        <w:keepNext w:val="0"/>
        <w:keepLines w:val="0"/>
        <w:widowControl w:val="0"/>
        <w:numPr>
          <w:ilvl w:val="0"/>
          <w:numId w:val="9"/>
        </w:numPr>
        <w:shd w:val="clear" w:color="auto" w:fill="auto"/>
        <w:tabs>
          <w:tab w:pos="922" w:val="left"/>
        </w:tabs>
        <w:bidi w:val="0"/>
        <w:spacing w:before="0" w:after="0"/>
        <w:ind w:left="0" w:right="0" w:firstLine="600"/>
        <w:jc w:val="both"/>
      </w:pPr>
      <w:r>
        <w:rPr>
          <w:color w:val="000000"/>
          <w:spacing w:val="0"/>
          <w:w w:val="100"/>
          <w:position w:val="0"/>
          <w:shd w:val="clear" w:color="auto" w:fill="auto"/>
          <w:lang w:val="ru-RU" w:eastAsia="ru-RU" w:bidi="ru-RU"/>
        </w:rPr>
        <w:t>К декларации безопасности прилагаются:</w:t>
      </w:r>
    </w:p>
    <w:p>
      <w:pPr>
        <w:pStyle w:val="Style15"/>
        <w:keepNext w:val="0"/>
        <w:keepLines w:val="0"/>
        <w:widowControl w:val="0"/>
        <w:numPr>
          <w:ilvl w:val="0"/>
          <w:numId w:val="13"/>
        </w:numPr>
        <w:shd w:val="clear" w:color="auto" w:fill="auto"/>
        <w:tabs>
          <w:tab w:pos="918" w:val="left"/>
          <w:tab w:pos="4958" w:val="left"/>
        </w:tabs>
        <w:bidi w:val="0"/>
        <w:spacing w:before="0" w:after="0"/>
        <w:ind w:left="0" w:right="0" w:firstLine="600"/>
        <w:jc w:val="both"/>
      </w:pPr>
      <w:r>
        <w:rPr>
          <w:color w:val="000000"/>
          <w:spacing w:val="0"/>
          <w:w w:val="100"/>
          <w:position w:val="0"/>
          <w:shd w:val="clear" w:color="auto" w:fill="auto"/>
          <w:lang w:val="ru-RU" w:eastAsia="ru-RU" w:bidi="ru-RU"/>
        </w:rPr>
        <w:t>сведения о гидротехническом сооружении, необходимые для формирования и ведения Российского регистра гидротехнических сооружений, форма представления которых утверждается Федеральной службой по экологическому, технологическому и атомному надзору по согласованию с Министерством транспорта Российской Федерации;</w:t>
        <w:tab/>
        <w:t>|</w:t>
      </w:r>
    </w:p>
    <w:p>
      <w:pPr>
        <w:pStyle w:val="Style15"/>
        <w:keepNext w:val="0"/>
        <w:keepLines w:val="0"/>
        <w:widowControl w:val="0"/>
        <w:numPr>
          <w:ilvl w:val="0"/>
          <w:numId w:val="13"/>
        </w:numPr>
        <w:shd w:val="clear" w:color="auto" w:fill="auto"/>
        <w:tabs>
          <w:tab w:pos="942" w:val="left"/>
        </w:tabs>
        <w:bidi w:val="0"/>
        <w:spacing w:before="0" w:after="0"/>
        <w:ind w:left="0" w:right="0" w:firstLine="600"/>
        <w:jc w:val="both"/>
      </w:pPr>
      <w:r>
        <w:rPr>
          <w:color w:val="000000"/>
          <w:spacing w:val="0"/>
          <w:w w:val="100"/>
          <w:position w:val="0"/>
          <w:shd w:val="clear" w:color="auto" w:fill="auto"/>
          <w:lang w:val="ru-RU" w:eastAsia="ru-RU" w:bidi="ru-RU"/>
        </w:rPr>
        <w:t>акт регулярного обследования гидротехнического сооружения, составленный комиссией по регулярному обследованию по форме, утверждаемой Федеральной службой по экологическому, технологическому и атомному надзору и Министерством транспорта Российской Федерации в соответствии с их компетенцией;</w:t>
      </w:r>
    </w:p>
    <w:p>
      <w:pPr>
        <w:pStyle w:val="Style15"/>
        <w:keepNext w:val="0"/>
        <w:keepLines w:val="0"/>
        <w:widowControl w:val="0"/>
        <w:numPr>
          <w:ilvl w:val="0"/>
          <w:numId w:val="13"/>
        </w:numPr>
        <w:shd w:val="clear" w:color="auto" w:fill="auto"/>
        <w:tabs>
          <w:tab w:pos="932" w:val="left"/>
        </w:tabs>
        <w:bidi w:val="0"/>
        <w:spacing w:before="0" w:after="0"/>
        <w:ind w:left="0" w:right="0" w:firstLine="600"/>
        <w:jc w:val="both"/>
      </w:pPr>
      <w:r>
        <w:rPr>
          <w:color w:val="000000"/>
          <w:spacing w:val="0"/>
          <w:w w:val="100"/>
          <w:position w:val="0"/>
          <w:shd w:val="clear" w:color="auto" w:fill="auto"/>
          <w:lang w:val="ru-RU" w:eastAsia="ru-RU" w:bidi="ru-RU"/>
        </w:rPr>
        <w:t>расчет вероятного вреда, определяемый в соответствии с Правилами определения величины финансового обеспечения гражданской ответственности за вред, причиненный в результате аварии гидротехнического сооружения, утвержденными постановлением Правительства Российской Федерации от 3 октября 2020 г. № 1596 «Об утверждении Правил определения величины финансового обеспечения гражданской ответственности за вред, причиненный в результате аварии гидротехнического сооружения»; ;</w:t>
      </w:r>
    </w:p>
    <w:p>
      <w:pPr>
        <w:pStyle w:val="Style15"/>
        <w:keepNext w:val="0"/>
        <w:keepLines w:val="0"/>
        <w:widowControl w:val="0"/>
        <w:numPr>
          <w:ilvl w:val="0"/>
          <w:numId w:val="13"/>
        </w:numPr>
        <w:shd w:val="clear" w:color="auto" w:fill="auto"/>
        <w:tabs>
          <w:tab w:pos="908" w:val="left"/>
        </w:tabs>
        <w:bidi w:val="0"/>
        <w:spacing w:before="0" w:after="0"/>
        <w:ind w:left="0" w:right="0" w:firstLine="600"/>
        <w:jc w:val="both"/>
      </w:pPr>
      <w:r>
        <w:rPr>
          <w:color w:val="000000"/>
          <w:spacing w:val="0"/>
          <w:w w:val="100"/>
          <w:position w:val="0"/>
          <w:shd w:val="clear" w:color="auto" w:fill="auto"/>
          <w:lang w:val="ru-RU" w:eastAsia="ru-RU" w:bidi="ru-RU"/>
        </w:rPr>
        <w:t>критерии безопасности гидротехнического сооружения и пояснительная записка к ним.</w:t>
      </w:r>
    </w:p>
    <w:p>
      <w:pPr>
        <w:pStyle w:val="Style15"/>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8. Орган государственного надзора рассматривает декларацию безопасности, прилагаемые к ней документы и заключение экспертной комиссии по результатам рассмотрения этой декларации безопасности и выносит решение об их утверждении или отказе в утверждении в течение 10 рабочих дней со дня поступления этих документов в орган государственного надзора.</w:t>
      </w:r>
    </w:p>
    <w:p>
      <w:pPr>
        <w:pStyle w:val="Style15"/>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При утверждении декларации безопасности и соответствующего заключения экспертной комиссии орган государственного надзора устанавливает с учетом уровня безопасности гидротехнического сооружения срок их действия, который не может превышать 5 лет.</w:t>
      </w:r>
    </w:p>
    <w:p>
      <w:pPr>
        <w:pStyle w:val="Style15"/>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11. Орган государственного надзора в день принятия решения об утверждении декларации безопасности вносит сведения о ней в реестр деклараций безопасности гидротехнических сооружений (далее - реестр деклараций).</w:t>
      </w:r>
    </w:p>
    <w:p>
      <w:pPr>
        <w:pStyle w:val="Style15"/>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Запись в реестре деклараций является подтверждением наличия у декларанта утвержденной декларации безопасности.</w:t>
      </w:r>
    </w:p>
    <w:p>
      <w:pPr>
        <w:pStyle w:val="Style15"/>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Декларация безопасности, утвержденная органом государственного надзора, является основанием для внесения сведений о гидротехническом сооружении в Российский регистр гидротехнических'сооружений.</w:t>
      </w:r>
    </w:p>
    <w:p>
      <w:pPr>
        <w:pStyle w:val="Style15"/>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Правилами утверждено в том числе следующее:</w:t>
      </w:r>
    </w:p>
    <w:p>
      <w:pPr>
        <w:pStyle w:val="Style15"/>
        <w:keepNext w:val="0"/>
        <w:keepLines w:val="0"/>
        <w:widowControl w:val="0"/>
        <w:numPr>
          <w:ilvl w:val="0"/>
          <w:numId w:val="15"/>
        </w:numPr>
        <w:shd w:val="clear" w:color="auto" w:fill="auto"/>
        <w:tabs>
          <w:tab w:pos="936" w:val="left"/>
        </w:tabs>
        <w:bidi w:val="0"/>
        <w:spacing w:before="0" w:after="0"/>
        <w:ind w:left="0" w:right="0" w:firstLine="600"/>
        <w:jc w:val="both"/>
      </w:pPr>
      <w:r>
        <w:rPr>
          <w:color w:val="000000"/>
          <w:spacing w:val="0"/>
          <w:w w:val="100"/>
          <w:position w:val="0"/>
          <w:shd w:val="clear" w:color="auto" w:fill="auto"/>
          <w:lang w:val="ru-RU" w:eastAsia="ru-RU" w:bidi="ru-RU"/>
        </w:rPr>
        <w:t>Настоящие Правила устанавливают порядок проведения государственной экспертизы декларации безопасности гидротехнического сооружения, находящегося в эксплуатации (далее - декларация безопасности).</w:t>
      </w:r>
    </w:p>
    <w:p>
      <w:pPr>
        <w:pStyle w:val="Style15"/>
        <w:keepNext w:val="0"/>
        <w:keepLines w:val="0"/>
        <w:widowControl w:val="0"/>
        <w:numPr>
          <w:ilvl w:val="0"/>
          <w:numId w:val="15"/>
        </w:numPr>
        <w:shd w:val="clear" w:color="auto" w:fill="auto"/>
        <w:tabs>
          <w:tab w:pos="936" w:val="left"/>
        </w:tabs>
        <w:bidi w:val="0"/>
        <w:spacing w:before="0" w:after="0"/>
        <w:ind w:left="0" w:right="0" w:firstLine="600"/>
        <w:jc w:val="both"/>
      </w:pPr>
      <w:r>
        <w:rPr>
          <w:color w:val="000000"/>
          <w:spacing w:val="0"/>
          <w:w w:val="100"/>
          <w:position w:val="0"/>
          <w:shd w:val="clear" w:color="auto" w:fill="auto"/>
          <w:lang w:val="ru-RU" w:eastAsia="ru-RU" w:bidi="ru-RU"/>
        </w:rPr>
        <w:t>Федеральные органы исполнительной власти, уполномоченные на проведение федерального государственного надзора в области безопасности гидротехнических сооружений (далее - орган государственного надзора), организуют проведение государственной экспертизы декларации безопасности.</w:t>
      </w:r>
    </w:p>
    <w:p>
      <w:pPr>
        <w:pStyle w:val="Style15"/>
        <w:keepNext w:val="0"/>
        <w:keepLines w:val="0"/>
        <w:widowControl w:val="0"/>
        <w:numPr>
          <w:ilvl w:val="0"/>
          <w:numId w:val="15"/>
        </w:numPr>
        <w:shd w:val="clear" w:color="auto" w:fill="auto"/>
        <w:tabs>
          <w:tab w:pos="936" w:val="left"/>
        </w:tabs>
        <w:bidi w:val="0"/>
        <w:spacing w:before="0" w:after="0"/>
        <w:ind w:left="0" w:right="0" w:firstLine="600"/>
        <w:jc w:val="both"/>
      </w:pPr>
      <w:r>
        <w:rPr>
          <w:color w:val="000000"/>
          <w:spacing w:val="0"/>
          <w:w w:val="100"/>
          <w:position w:val="0"/>
          <w:shd w:val="clear" w:color="auto" w:fill="auto"/>
          <w:lang w:val="ru-RU" w:eastAsia="ru-RU" w:bidi="ru-RU"/>
        </w:rPr>
        <w:t>Государственная экспертиза декларации безопасности проводится экспертными комиссиями, формируемыми экспертными центрами, определяемыми органом государственного надзора в соответствии с законодательством Российской Федерации.</w:t>
      </w:r>
    </w:p>
    <w:p>
      <w:pPr>
        <w:pStyle w:val="Style15"/>
        <w:keepNext w:val="0"/>
        <w:keepLines w:val="0"/>
        <w:widowControl w:val="0"/>
        <w:numPr>
          <w:ilvl w:val="0"/>
          <w:numId w:val="15"/>
        </w:numPr>
        <w:shd w:val="clear" w:color="auto" w:fill="auto"/>
        <w:tabs>
          <w:tab w:pos="936" w:val="left"/>
        </w:tabs>
        <w:bidi w:val="0"/>
        <w:spacing w:before="0" w:after="0"/>
        <w:ind w:left="0" w:right="0" w:firstLine="600"/>
        <w:jc w:val="both"/>
      </w:pPr>
      <w:r>
        <w:rPr>
          <w:color w:val="000000"/>
          <w:spacing w:val="0"/>
          <w:w w:val="100"/>
          <w:position w:val="0"/>
          <w:shd w:val="clear" w:color="auto" w:fill="auto"/>
          <w:lang w:val="ru-RU" w:eastAsia="ru-RU" w:bidi="ru-RU"/>
        </w:rPr>
        <w:t>Для проведения государственной экспертизы декларации безопасности собственник гидротехнического сооружения и (или) эксплуатирующая организация представляют в экспертный центр декларацию безопасности, оформленную в соответствии с требованиями, установленными Положением о декларировании безопасности гидротехнических сооружений, утвержденным постановлением Правительства Российской Федерации от 20 ноября 2020 г. № 1892 «О декларировании безопасности гидротехнических сооружений», и прилагаемые к ней в соответствии с указанным Положением документы.</w:t>
      </w:r>
    </w:p>
    <w:p>
      <w:pPr>
        <w:pStyle w:val="Style15"/>
        <w:keepNext w:val="0"/>
        <w:keepLines w:val="0"/>
        <w:widowControl w:val="0"/>
        <w:numPr>
          <w:ilvl w:val="0"/>
          <w:numId w:val="15"/>
        </w:numPr>
        <w:shd w:val="clear" w:color="auto" w:fill="auto"/>
        <w:tabs>
          <w:tab w:pos="936" w:val="left"/>
        </w:tabs>
        <w:bidi w:val="0"/>
        <w:spacing w:before="0" w:after="0"/>
        <w:ind w:left="0" w:right="0" w:firstLine="600"/>
        <w:jc w:val="both"/>
      </w:pPr>
      <w:r>
        <w:rPr>
          <w:color w:val="000000"/>
          <w:spacing w:val="0"/>
          <w:w w:val="100"/>
          <w:position w:val="0"/>
          <w:shd w:val="clear" w:color="auto" w:fill="auto"/>
          <w:lang w:val="ru-RU" w:eastAsia="ru-RU" w:bidi="ru-RU"/>
        </w:rPr>
        <w:t>Целью государственной экспертизы декларации безопасности является установление полноты и достоверности сведений, указанных в декларации безопасности и прилагаемых к ней документах, в частности:</w:t>
      </w:r>
    </w:p>
    <w:p>
      <w:pPr>
        <w:pStyle w:val="Style15"/>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выявление степени опасности гидротехнического сооружения;</w:t>
      </w:r>
    </w:p>
    <w:p>
      <w:pPr>
        <w:pStyle w:val="Style15"/>
        <w:keepNext w:val="0"/>
        <w:keepLines w:val="0"/>
        <w:widowControl w:val="0"/>
        <w:shd w:val="clear" w:color="auto" w:fill="auto"/>
        <w:bidi w:val="0"/>
        <w:spacing w:before="0" w:after="0"/>
        <w:ind w:left="0" w:right="0" w:firstLine="560"/>
        <w:jc w:val="both"/>
        <w:sectPr>
          <w:headerReference w:type="default" r:id="rId17"/>
          <w:footerReference w:type="default" r:id="rId18"/>
          <w:headerReference w:type="even" r:id="rId19"/>
          <w:footerReference w:type="even" r:id="rId20"/>
          <w:headerReference w:type="first" r:id="rId21"/>
          <w:footerReference w:type="first" r:id="rId22"/>
          <w:footnotePr>
            <w:pos w:val="pageBottom"/>
            <w:numFmt w:val="decimal"/>
            <w:numRestart w:val="continuous"/>
          </w:footnotePr>
          <w:pgSz w:w="11900" w:h="16840"/>
          <w:pgMar w:top="1298" w:right="520" w:bottom="1185" w:left="1032" w:header="0" w:footer="3" w:gutter="0"/>
          <w:cols w:space="720"/>
          <w:noEndnote/>
          <w:titlePg/>
          <w:rtlGutter w:val="0"/>
          <w:docGrid w:linePitch="360"/>
        </w:sectPr>
      </w:pPr>
      <w:r>
        <w:rPr>
          <w:color w:val="000000"/>
          <w:spacing w:val="0"/>
          <w:w w:val="100"/>
          <w:position w:val="0"/>
          <w:shd w:val="clear" w:color="auto" w:fill="auto"/>
          <w:lang w:val="ru-RU" w:eastAsia="ru-RU" w:bidi="ru-RU"/>
        </w:rPr>
        <w:t>определение достаточности предусмотренных мер по обеспечению</w:t>
      </w:r>
    </w:p>
    <w:p>
      <w:pPr>
        <w:pStyle w:val="Style15"/>
        <w:keepNext w:val="0"/>
        <w:keepLines w:val="0"/>
        <w:widowControl w:val="0"/>
        <w:shd w:val="clear" w:color="auto" w:fill="auto"/>
        <w:bidi w:val="0"/>
        <w:spacing w:before="0" w:after="0" w:line="372" w:lineRule="auto"/>
        <w:ind w:left="0" w:right="0" w:firstLine="5020"/>
        <w:jc w:val="left"/>
      </w:pPr>
      <w:r>
        <w:rPr>
          <w:color w:val="000000"/>
          <w:spacing w:val="0"/>
          <w:w w:val="100"/>
          <w:position w:val="0"/>
          <w:shd w:val="clear" w:color="auto" w:fill="auto"/>
          <w:lang w:val="ru-RU" w:eastAsia="ru-RU" w:bidi="ru-RU"/>
        </w:rPr>
        <w:t>13 безопасности гидротехнического сооружения и соответствия этих мер обязательным требованиям.</w:t>
      </w:r>
    </w:p>
    <w:p>
      <w:pPr>
        <w:pStyle w:val="Style15"/>
        <w:keepNext w:val="0"/>
        <w:keepLines w:val="0"/>
        <w:widowControl w:val="0"/>
        <w:numPr>
          <w:ilvl w:val="0"/>
          <w:numId w:val="17"/>
        </w:numPr>
        <w:shd w:val="clear" w:color="auto" w:fill="auto"/>
        <w:tabs>
          <w:tab w:pos="918" w:val="left"/>
        </w:tabs>
        <w:bidi w:val="0"/>
        <w:spacing w:before="0" w:after="0"/>
        <w:ind w:left="0" w:right="0" w:firstLine="580"/>
        <w:jc w:val="both"/>
      </w:pPr>
      <w:r>
        <w:rPr>
          <w:color w:val="000000"/>
          <w:spacing w:val="0"/>
          <w:w w:val="100"/>
          <w:position w:val="0"/>
          <w:shd w:val="clear" w:color="auto" w:fill="auto"/>
          <w:lang w:val="ru-RU" w:eastAsia="ru-RU" w:bidi="ru-RU"/>
        </w:rPr>
        <w:t>Порядок формирования и регламент работы экспертных комиссий, а также квалификационные требования к специалистам, включаемым в их состав,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безопасности гидротехнических сооружений. К участию в работе экспертных комиссий могут привлекаться научно- исследовательские и проектные организации.</w:t>
      </w:r>
    </w:p>
    <w:p>
      <w:pPr>
        <w:pStyle w:val="Style15"/>
        <w:keepNext w:val="0"/>
        <w:keepLines w:val="0"/>
        <w:widowControl w:val="0"/>
        <w:numPr>
          <w:ilvl w:val="0"/>
          <w:numId w:val="17"/>
        </w:numPr>
        <w:shd w:val="clear" w:color="auto" w:fill="auto"/>
        <w:tabs>
          <w:tab w:pos="912" w:val="left"/>
        </w:tabs>
        <w:bidi w:val="0"/>
        <w:spacing w:before="0" w:after="0"/>
        <w:ind w:left="0" w:right="0" w:firstLine="580"/>
        <w:jc w:val="both"/>
      </w:pPr>
      <w:r>
        <w:rPr>
          <w:color w:val="000000"/>
          <w:spacing w:val="0"/>
          <w:w w:val="100"/>
          <w:position w:val="0"/>
          <w:shd w:val="clear" w:color="auto" w:fill="auto"/>
          <w:lang w:val="ru-RU" w:eastAsia="ru-RU" w:bidi="ru-RU"/>
        </w:rPr>
        <w:t>Экспертный центр в срок, установленный пунктом 6 настоящих Правил, направляет в орган государственного надзора заключение экспертной комиссии, оформленное в соответствии с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безопасности гидротехнических сооружений.</w:t>
      </w:r>
    </w:p>
    <w:p>
      <w:pPr>
        <w:pStyle w:val="Style15"/>
        <w:keepNext w:val="0"/>
        <w:keepLines w:val="0"/>
        <w:widowControl w:val="0"/>
        <w:numPr>
          <w:ilvl w:val="0"/>
          <w:numId w:val="17"/>
        </w:numPr>
        <w:shd w:val="clear" w:color="auto" w:fill="auto"/>
        <w:tabs>
          <w:tab w:pos="912" w:val="left"/>
        </w:tabs>
        <w:bidi w:val="0"/>
        <w:spacing w:before="0" w:after="0"/>
        <w:ind w:left="0" w:right="0" w:firstLine="580"/>
        <w:jc w:val="both"/>
      </w:pPr>
      <w:r>
        <w:rPr>
          <w:color w:val="000000"/>
          <w:spacing w:val="0"/>
          <w:w w:val="100"/>
          <w:position w:val="0"/>
          <w:shd w:val="clear" w:color="auto" w:fill="auto"/>
          <w:lang w:val="ru-RU" w:eastAsia="ru-RU" w:bidi="ru-RU"/>
        </w:rPr>
        <w:t>Заключение экспертной комиссии приобретает статус заключения государственной экспертизы декларации безопасности после его утверждения органом государственного надзора в сроки, установленные пунктом 8 Положения о декларировании безопасности гидротехнических сооружений, утвержденного постановлением Правительства Российской Федерации от 20 ноября 2020 г. № 1892 «О декларировании безопасности гидротехнических сооружений».</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Приказом Ростехнадзора от 03.11.2015 № 448 (далее — Приказ № 448) «Об утверждении Административного регламента Федеральной службы по экологическому, технологическому и атомному надзору по предоставлению государственной услуги по определению экспертных центров, проводящих государственную экспертизу деклараций безопасности гидротехнических сооружений (за исключением судоходных и портовых гидротехнических сооружений)» утвержден Административный регламент Федеральной службы по экологическому, технологическому и {атомному надзору по предоставлению государственной услуги по определению экспертных центров, проводящих государственную экспертизу декларации безопасности гидротехнических сооружений (за исключением судоходных и портовых гидротехнических сооружений).</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Приказом № 448 установлено в том числе следующее:</w:t>
      </w:r>
    </w:p>
    <w:p>
      <w:pPr>
        <w:pStyle w:val="Style15"/>
        <w:keepNext w:val="0"/>
        <w:keepLines w:val="0"/>
        <w:widowControl w:val="0"/>
        <w:numPr>
          <w:ilvl w:val="0"/>
          <w:numId w:val="17"/>
        </w:numPr>
        <w:shd w:val="clear" w:color="auto" w:fill="auto"/>
        <w:tabs>
          <w:tab w:pos="912" w:val="left"/>
        </w:tabs>
        <w:bidi w:val="0"/>
        <w:spacing w:before="0" w:after="0"/>
        <w:ind w:left="0" w:right="0" w:firstLine="580"/>
        <w:jc w:val="both"/>
      </w:pPr>
      <w:r>
        <w:rPr>
          <w:color w:val="000000"/>
          <w:spacing w:val="0"/>
          <w:w w:val="100"/>
          <w:position w:val="0"/>
          <w:shd w:val="clear" w:color="auto" w:fill="auto"/>
          <w:lang w:val="ru-RU" w:eastAsia="ru-RU" w:bidi="ru-RU"/>
        </w:rPr>
        <w:t>Заявителем может быть юридическое лицо, претендующее на проведение государственной экспертизы деклараций безопасности гидротехнических сооружений (далее — заявитель).</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15. Результатом предоставления</w:t>
      </w:r>
      <w:r>
        <w:rPr>
          <w:color w:val="000000"/>
          <w:spacing w:val="0"/>
          <w:w w:val="100"/>
          <w:position w:val="0"/>
          <w:shd w:val="clear" w:color="auto" w:fill="auto"/>
          <w:vertAlign w:val="superscript"/>
          <w:lang w:val="ru-RU" w:eastAsia="ru-RU" w:bidi="ru-RU"/>
        </w:rPr>
        <w:t>1</w:t>
      </w:r>
      <w:r>
        <w:rPr>
          <w:color w:val="000000"/>
          <w:spacing w:val="0"/>
          <w:w w:val="100"/>
          <w:position w:val="0"/>
          <w:shd w:val="clear" w:color="auto" w:fill="auto"/>
          <w:lang w:val="ru-RU" w:eastAsia="ru-RU" w:bidi="ru-RU"/>
        </w:rPr>
        <w:t xml:space="preserve"> государственной услуги по определению экспертных центров является включение заявителя или отказ во включении заявителя в перечень экспертных центров, проводящих государственную экспертизу деклараций безопасности гидротехнических сооружений (далее — ГТС).</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53. При принятии положительного решения заместитель руководителя Ростехнадзора подписывает уведомление о включении (об отказе во включении) заявителя в перечень экспертных центров, проводящих государственную экспертизу деклараций безопасности ГТС.</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57. Информация об организациях,^включенных в перечень экспертных центров, проводящих государственную экспертизу деклараций безопасности ГТС, размещается на официальном сайте Ростехнадзора: дуу/\у.§о8пас12ог.ги согласно приложению № 5 к настоящему Административному регламенту.</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Приказом Ростехнадзора от 14.12.2020 № 523 «Об утверждении порядка формирования и регламента работы экспертных комиссий по проведению государственной экспертизы деклараций безопасности гидротехнических сооружений (за исключением судоходных и портовых гидротехнических сооружений)» (далее Приказ № 523) утверждены:</w:t>
      </w:r>
    </w:p>
    <w:p>
      <w:pPr>
        <w:pStyle w:val="Style15"/>
        <w:keepNext w:val="0"/>
        <w:keepLines w:val="0"/>
        <w:widowControl w:val="0"/>
        <w:numPr>
          <w:ilvl w:val="0"/>
          <w:numId w:val="19"/>
        </w:numPr>
        <w:shd w:val="clear" w:color="auto" w:fill="auto"/>
        <w:tabs>
          <w:tab w:pos="798" w:val="left"/>
          <w:tab w:pos="4670" w:val="left"/>
        </w:tabs>
        <w:bidi w:val="0"/>
        <w:spacing w:before="0" w:after="0"/>
        <w:ind w:left="0" w:right="0" w:firstLine="620"/>
        <w:jc w:val="both"/>
      </w:pPr>
      <w:r>
        <w:rPr>
          <w:color w:val="000000"/>
          <w:spacing w:val="0"/>
          <w:w w:val="100"/>
          <w:position w:val="0"/>
          <w:shd w:val="clear" w:color="auto" w:fill="auto"/>
          <w:lang w:val="ru-RU" w:eastAsia="ru-RU" w:bidi="ru-RU"/>
        </w:rPr>
        <w:t>порядок формирования экспертных комиссий по проведению государственной экспертизы деклараций безопасности гидротехнических сооружений (за исключением судоходных и портовых гидротехнических сооружений) (далее - Порядок);</w:t>
        <w:tab/>
      </w:r>
      <w:r>
        <w:rPr>
          <w:rFonts w:ascii="Arial" w:eastAsia="Arial" w:hAnsi="Arial" w:cs="Arial"/>
          <w:color w:val="000000"/>
          <w:spacing w:val="0"/>
          <w:w w:val="100"/>
          <w:position w:val="0"/>
          <w:shd w:val="clear" w:color="auto" w:fill="auto"/>
          <w:lang w:val="ru-RU" w:eastAsia="ru-RU" w:bidi="ru-RU"/>
        </w:rPr>
        <w:t>1</w:t>
      </w:r>
    </w:p>
    <w:p>
      <w:pPr>
        <w:pStyle w:val="Style15"/>
        <w:keepNext w:val="0"/>
        <w:keepLines w:val="0"/>
        <w:widowControl w:val="0"/>
        <w:numPr>
          <w:ilvl w:val="0"/>
          <w:numId w:val="19"/>
        </w:numPr>
        <w:shd w:val="clear" w:color="auto" w:fill="auto"/>
        <w:tabs>
          <w:tab w:pos="798" w:val="left"/>
        </w:tabs>
        <w:bidi w:val="0"/>
        <w:spacing w:before="0" w:after="0"/>
        <w:ind w:left="0" w:right="0" w:firstLine="620"/>
        <w:jc w:val="both"/>
      </w:pPr>
      <w:r>
        <w:rPr>
          <w:color w:val="000000"/>
          <w:spacing w:val="0"/>
          <w:w w:val="100"/>
          <w:position w:val="0"/>
          <w:shd w:val="clear" w:color="auto" w:fill="auto"/>
          <w:lang w:val="ru-RU" w:eastAsia="ru-RU" w:bidi="ru-RU"/>
        </w:rPr>
        <w:t>регламент работы экспертных комиссий по проведению государственной экспертизы деклараций безопасности гидротехнических сооружений (за исключением судоходных и портовых гидротехнических сооружений).</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Пунктами 1, 2, 5, 6 Порядка установлено:</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1. Настоящий порядок устанавливает правила формирования экспертных комиссий по проведению государственной экспертизы деклараций безопасности гидротехнических сооружений (за исключением судоходных и портовых гидротехнических сооружений) (далее - экспертные комиссии).</w:t>
      </w:r>
    </w:p>
    <w:p>
      <w:pPr>
        <w:pStyle w:val="Style15"/>
        <w:keepNext w:val="0"/>
        <w:keepLines w:val="0"/>
        <w:widowControl w:val="0"/>
        <w:shd w:val="clear" w:color="auto" w:fill="auto"/>
        <w:bidi w:val="0"/>
        <w:spacing w:before="0" w:after="0"/>
        <w:ind w:left="0" w:right="0" w:firstLine="620"/>
        <w:jc w:val="both"/>
      </w:pPr>
      <w:r>
        <w:rPr>
          <w:color w:val="000000"/>
          <w:spacing w:val="0"/>
          <w:w w:val="100"/>
          <w:position w:val="0"/>
          <w:shd w:val="clear" w:color="auto" w:fill="auto"/>
          <w:lang w:val="ru-RU" w:eastAsia="ru-RU" w:bidi="ru-RU"/>
        </w:rPr>
        <w:t xml:space="preserve">2. Экспертные комиссии формируются экспертными центрами, определяемыми федеральным органом исполнительной власти, уполномоченным на проведение федерального государственного надзора в области безопасности гидротехнических сооружений (за исключением судоходных и портовых гидротехнических сооружений), для рассмотрения каждой декларации безопасности гидротехнического сооружения (далее - ГТС), подлежащей государственной экспертизе, в срок, не превышающий 7 календарных дней со дня представления собственником ГТС и (или) эксплуатирующей организацией в экспертный центр </w:t>
      </w:r>
      <w:r>
        <w:rPr>
          <w:color w:val="000000"/>
          <w:spacing w:val="0"/>
          <w:w w:val="100"/>
          <w:position w:val="0"/>
          <w:shd w:val="clear" w:color="auto" w:fill="auto"/>
          <w:lang w:val="ru-RU" w:eastAsia="ru-RU" w:bidi="ru-RU"/>
        </w:rPr>
        <w:t>декларации безопасности ГТС с прилагаемыми к ней документами и оплаты счета за проведение экспертизы.</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5. Экспертная комиссия состоит из председателя комиссии, его заместителя, ответственного секретаря комиссии и членов комиссии.</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6. Председателем комиссии, его заместителем и ответственным секретарем комиссии назначаются лица из числа штатных сотрудников экспертного центра, другие члены экспертной комиссии - из числа как штатных сотрудников экспертного центра, так и сотрудников и специалистов научно-исследовательских, проектных организаций, привлекаемых к экспертизе по специальным вопросам.</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u w:val="single"/>
          <w:shd w:val="clear" w:color="auto" w:fill="auto"/>
          <w:lang w:val="ru-RU" w:eastAsia="ru-RU" w:bidi="ru-RU"/>
        </w:rPr>
        <w:t>Не допускается включать в состав экспертных комиссий лиц, участвовавших в проектировании, строительстве или эксплуатации декларируемого ГТС, а также в разработке представленной на экспертизу декларации безопасности ГТС.</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Таким образом, на основании вышеизложенного следует:</w:t>
      </w:r>
    </w:p>
    <w:p>
      <w:pPr>
        <w:pStyle w:val="Style15"/>
        <w:keepNext w:val="0"/>
        <w:keepLines w:val="0"/>
        <w:widowControl w:val="0"/>
        <w:numPr>
          <w:ilvl w:val="0"/>
          <w:numId w:val="21"/>
        </w:numPr>
        <w:shd w:val="clear" w:color="auto" w:fill="auto"/>
        <w:tabs>
          <w:tab w:pos="913" w:val="left"/>
        </w:tabs>
        <w:bidi w:val="0"/>
        <w:spacing w:before="0" w:after="0"/>
        <w:ind w:left="0" w:right="0" w:firstLine="580"/>
        <w:jc w:val="both"/>
      </w:pPr>
      <w:r>
        <w:rPr>
          <w:color w:val="000000"/>
          <w:spacing w:val="0"/>
          <w:w w:val="100"/>
          <w:position w:val="0"/>
          <w:shd w:val="clear" w:color="auto" w:fill="auto"/>
          <w:lang w:val="ru-RU" w:eastAsia="ru-RU" w:bidi="ru-RU"/>
        </w:rPr>
        <w:t>Декларация безопасности (далее — Декларация) составляется собственником ГТС и (или) эксплуатирующей организацией после проведения соответствующего обследования ГТС и впоследствии представляется в уполномоченный федеральный орган исполнительной власти для её утверждения, при этом, каких либо требований к собственнику ГТС и (или) эксплуатирующей организации при разработке Декларации законодательством РФ и нормативно-правовыми актами не установлено. В случае утверждения Декларации орган государственного надзора вносит сведения о ГТС в реестр деклараций безопасности гидротехнических сооружений, что является подтверждением наличия утвержденной Декларации и основанием для внесения сведений о ГТС в Российский регистр гидротехнических сооружений.</w:t>
      </w:r>
    </w:p>
    <w:p>
      <w:pPr>
        <w:pStyle w:val="Style15"/>
        <w:keepNext w:val="0"/>
        <w:keepLines w:val="0"/>
        <w:widowControl w:val="0"/>
        <w:numPr>
          <w:ilvl w:val="0"/>
          <w:numId w:val="21"/>
        </w:numPr>
        <w:shd w:val="clear" w:color="auto" w:fill="auto"/>
        <w:tabs>
          <w:tab w:pos="918" w:val="left"/>
          <w:tab w:pos="4973" w:val="left"/>
        </w:tabs>
        <w:bidi w:val="0"/>
        <w:spacing w:before="0" w:after="0"/>
        <w:ind w:left="0" w:right="0" w:firstLine="580"/>
        <w:jc w:val="both"/>
      </w:pPr>
      <w:r>
        <w:rPr>
          <w:color w:val="000000"/>
          <w:spacing w:val="0"/>
          <w:w w:val="100"/>
          <w:position w:val="0"/>
          <w:shd w:val="clear" w:color="auto" w:fill="auto"/>
          <w:lang w:val="ru-RU" w:eastAsia="ru-RU" w:bidi="ru-RU"/>
        </w:rPr>
        <w:t>Государственная экспертиза I Декларации проводится экспертными комиссиями, формируемыми экспертными центрами, информация о которых размещается на официальном сайте Ростехнадзора. При включении юридического лица (заявителя) в перечень экспертных центров, проводящих государственную экспертизу Деклараций, заявителю направляется соответствующее уведомление о включении (об отказе во включении) заявителя в перечень экспертных центров. Следовательно, обязательным требованием при проведении государственной экспертизы Декларации ГТС является условие нахождения экспертной организации в перечне экспертных центров, проводящих государственную экспертизу Деклараций.</w:t>
        <w:tab/>
        <w:t>|</w:t>
      </w:r>
    </w:p>
    <w:p>
      <w:pPr>
        <w:pStyle w:val="Style15"/>
        <w:keepNext w:val="0"/>
        <w:keepLines w:val="0"/>
        <w:widowControl w:val="0"/>
        <w:numPr>
          <w:ilvl w:val="0"/>
          <w:numId w:val="21"/>
        </w:numPr>
        <w:shd w:val="clear" w:color="auto" w:fill="auto"/>
        <w:tabs>
          <w:tab w:pos="908" w:val="left"/>
        </w:tabs>
        <w:bidi w:val="0"/>
        <w:spacing w:before="0" w:after="0"/>
        <w:ind w:left="0" w:right="0" w:firstLine="580"/>
        <w:jc w:val="both"/>
      </w:pPr>
      <w:r>
        <w:rPr>
          <w:color w:val="000000"/>
          <w:spacing w:val="0"/>
          <w:w w:val="100"/>
          <w:position w:val="0"/>
          <w:shd w:val="clear" w:color="auto" w:fill="auto"/>
          <w:lang w:val="ru-RU" w:eastAsia="ru-RU" w:bidi="ru-RU"/>
        </w:rPr>
        <w:t xml:space="preserve">Поскольку эксперты, привлеченные к проведению экспертизы Декларации, состоят в трудовых отношениях с организацией, определенной для проведения государственной экспертизы Деклараций ГТС, привлечение сотрудников указанной организации к участию в составлении Декларации данного ГТС является </w:t>
      </w:r>
      <w:r>
        <w:rPr>
          <w:color w:val="000000"/>
          <w:spacing w:val="0"/>
          <w:w w:val="100"/>
          <w:position w:val="0"/>
          <w:shd w:val="clear" w:color="auto" w:fill="auto"/>
          <w:lang w:val="ru-RU" w:eastAsia="ru-RU" w:bidi="ru-RU"/>
        </w:rPr>
        <w:t>неправомочным, о чем прямо указано в Письме Федеральной службы по экологическому, технологическому и атомному надзору (Ростехнадзор) № 10-00- 09/787 от 10.03.2023 (ответ приведен 1в полном объеме), поступившем в ответ на запрос Хакасского УФАС России от 09.03.2023 № ОШ/1740/23:</w:t>
      </w:r>
    </w:p>
    <w:p>
      <w:pPr>
        <w:pStyle w:val="Style15"/>
        <w:keepNext w:val="0"/>
        <w:keepLines w:val="0"/>
        <w:widowControl w:val="0"/>
        <w:shd w:val="clear" w:color="auto" w:fill="auto"/>
        <w:bidi w:val="0"/>
        <w:spacing w:before="0" w:after="0"/>
        <w:ind w:left="0" w:right="0" w:firstLine="600"/>
        <w:jc w:val="both"/>
      </w:pPr>
      <w:r>
        <w:rPr>
          <w:i/>
          <w:iCs/>
          <w:color w:val="000000"/>
          <w:spacing w:val="0"/>
          <w:w w:val="100"/>
          <w:position w:val="0"/>
          <w:shd w:val="clear" w:color="auto" w:fill="auto"/>
          <w:lang w:val="ru-RU" w:eastAsia="ru-RU" w:bidi="ru-RU"/>
        </w:rPr>
        <w:t>«Управление государственного энергетического надзора рассмотрело запрос Управления ФАС по Республике Хакасия от 9 марта 2023 г. № ОШ/1740/23 по вопросу декларирования безопасности гидротехнических сооружений и сообщает.</w:t>
      </w:r>
    </w:p>
    <w:p>
      <w:pPr>
        <w:pStyle w:val="Style15"/>
        <w:keepNext w:val="0"/>
        <w:keepLines w:val="0"/>
        <w:widowControl w:val="0"/>
        <w:shd w:val="clear" w:color="auto" w:fill="auto"/>
        <w:bidi w:val="0"/>
        <w:spacing w:before="0" w:after="0"/>
        <w:ind w:left="0" w:right="0" w:firstLine="600"/>
        <w:jc w:val="both"/>
      </w:pPr>
      <w:r>
        <w:rPr>
          <w:i/>
          <w:iCs/>
          <w:color w:val="000000"/>
          <w:spacing w:val="0"/>
          <w:w w:val="100"/>
          <w:position w:val="0"/>
          <w:shd w:val="clear" w:color="auto" w:fill="auto"/>
          <w:lang w:val="ru-RU" w:eastAsia="ru-RU" w:bidi="ru-RU"/>
        </w:rPr>
        <w:t>В соответствии со статьей 10 Федерального закона от 21 июля 1997 г. X 117- ФЗ «О безопасности гидротехнических сооружений» собственник гидротехнического сооружения и (или) эксплуатирующая организация составляют и представляют в уполномоченные федеральные органы исполнительной власти декларацию безопасности гидротехнического сооружения при эксплуатации гидротехнического сооружения I, II или III класса, а также при консервации и ликвидации гидротехнического сооружения I, II, III или IV класса.</w:t>
      </w:r>
    </w:p>
    <w:p>
      <w:pPr>
        <w:pStyle w:val="Style15"/>
        <w:keepNext w:val="0"/>
        <w:keepLines w:val="0"/>
        <w:widowControl w:val="0"/>
        <w:shd w:val="clear" w:color="auto" w:fill="auto"/>
        <w:bidi w:val="0"/>
        <w:spacing w:before="0" w:after="0"/>
        <w:ind w:left="0" w:right="0" w:firstLine="600"/>
        <w:jc w:val="both"/>
      </w:pPr>
      <w:r>
        <w:rPr>
          <w:i/>
          <w:iCs/>
          <w:color w:val="000000"/>
          <w:spacing w:val="0"/>
          <w:w w:val="100"/>
          <w:position w:val="0"/>
          <w:shd w:val="clear" w:color="auto" w:fill="auto"/>
          <w:lang w:val="ru-RU" w:eastAsia="ru-RU" w:bidi="ru-RU"/>
        </w:rPr>
        <w:t>Правилами проведения государственной экспертизы декларации безопасности гидротехнического сооружения, утвержденными постановлением Правительства Российской Федерации от 20 ноября 2020 г.</w:t>
      </w:r>
      <w:r>
        <w:rPr>
          <w:color w:val="000000"/>
          <w:spacing w:val="0"/>
          <w:w w:val="100"/>
          <w:position w:val="0"/>
          <w:shd w:val="clear" w:color="auto" w:fill="auto"/>
          <w:lang w:val="ru-RU" w:eastAsia="ru-RU" w:bidi="ru-RU"/>
        </w:rPr>
        <w:t xml:space="preserve"> Л? </w:t>
      </w:r>
      <w:r>
        <w:rPr>
          <w:i/>
          <w:iCs/>
          <w:color w:val="000000"/>
          <w:spacing w:val="0"/>
          <w:w w:val="100"/>
          <w:position w:val="0"/>
          <w:shd w:val="clear" w:color="auto" w:fill="auto"/>
          <w:lang w:val="ru-RU" w:eastAsia="ru-RU" w:bidi="ru-RU"/>
        </w:rPr>
        <w:t>1892, государственная экспертиза декларации безопасности проводится экспертными комиссиями, формируемыми экспертными центрами, определяемыми органом государственного надзора в соответствии с законодательством Российской Федерации.</w:t>
      </w:r>
    </w:p>
    <w:p>
      <w:pPr>
        <w:pStyle w:val="Style15"/>
        <w:keepNext w:val="0"/>
        <w:keepLines w:val="0"/>
        <w:widowControl w:val="0"/>
        <w:shd w:val="clear" w:color="auto" w:fill="auto"/>
        <w:bidi w:val="0"/>
        <w:spacing w:before="0" w:after="0"/>
        <w:ind w:left="0" w:right="0" w:firstLine="600"/>
        <w:jc w:val="both"/>
      </w:pPr>
      <w:r>
        <w:rPr>
          <w:i/>
          <w:iCs/>
          <w:color w:val="000000"/>
          <w:spacing w:val="0"/>
          <w:w w:val="100"/>
          <w:position w:val="0"/>
          <w:shd w:val="clear" w:color="auto" w:fill="auto"/>
          <w:lang w:val="ru-RU" w:eastAsia="ru-RU" w:bidi="ru-RU"/>
        </w:rPr>
        <w:t>Руководствуясь пунктом 6 Порядка формирования экспертных комиссий по проведению государственной экспертизы деклараций безопасности гидротехнических сооружений (за\ исключением судоходных и портовых гидротехнических сооружений), утвержденного приказом Ростехнадзора от 14 декабря 2020 г. № 523, зарегистрированного Минюстом России 28 декабря 2020 г. № 61868, не допускается включать в состав экспертных комиссий лиц, участвовавших в проектировании, строительстве или эксплуатации декларируемого гидротехнического сооружения, а также в разработке представленной на экспертизу декларации безопасности гидротехнического сооружения.</w:t>
      </w:r>
    </w:p>
    <w:p>
      <w:pPr>
        <w:pStyle w:val="Style15"/>
        <w:keepNext w:val="0"/>
        <w:keepLines w:val="0"/>
        <w:widowControl w:val="0"/>
        <w:shd w:val="clear" w:color="auto" w:fill="auto"/>
        <w:bidi w:val="0"/>
        <w:spacing w:before="0" w:after="0"/>
        <w:ind w:left="0" w:right="0" w:firstLine="600"/>
        <w:jc w:val="both"/>
      </w:pPr>
      <w:r>
        <w:rPr>
          <w:i/>
          <w:iCs/>
          <w:color w:val="000000"/>
          <w:spacing w:val="0"/>
          <w:w w:val="100"/>
          <w:position w:val="0"/>
          <w:shd w:val="clear" w:color="auto" w:fill="auto"/>
          <w:lang w:val="ru-RU" w:eastAsia="ru-RU" w:bidi="ru-RU"/>
        </w:rPr>
        <w:t>Учитывая, что эксперты, привлеченные к проведению экспертизы декларации безопасности гидротехнических сооружений, состоят в трудовых отношениях с организацией, определенной для проведения государственной экспертизы деклараций безопасности гидротехнических сооружений, не правомочно привлекать сотрудников указанной организации к участию в составлении декларации безопасности данного гидротехнического сооружения.</w:t>
      </w:r>
    </w:p>
    <w:p>
      <w:pPr>
        <w:pStyle w:val="Style15"/>
        <w:keepNext w:val="0"/>
        <w:keepLines w:val="0"/>
        <w:widowControl w:val="0"/>
        <w:shd w:val="clear" w:color="auto" w:fill="auto"/>
        <w:bidi w:val="0"/>
        <w:spacing w:before="0" w:after="360"/>
        <w:ind w:left="0" w:right="0" w:firstLine="560"/>
        <w:jc w:val="both"/>
        <w:sectPr>
          <w:headerReference w:type="default" r:id="rId23"/>
          <w:footerReference w:type="default" r:id="rId24"/>
          <w:headerReference w:type="even" r:id="rId25"/>
          <w:footerReference w:type="even" r:id="rId26"/>
          <w:headerReference w:type="first" r:id="rId27"/>
          <w:footerReference w:type="first" r:id="rId28"/>
          <w:footnotePr>
            <w:pos w:val="pageBottom"/>
            <w:numFmt w:val="decimal"/>
            <w:numRestart w:val="continuous"/>
          </w:footnotePr>
          <w:pgSz w:w="11900" w:h="16840"/>
          <w:pgMar w:top="1298" w:right="520" w:bottom="1185" w:left="1032" w:header="0" w:footer="3" w:gutter="0"/>
          <w:cols w:space="720"/>
          <w:noEndnote/>
          <w:titlePg/>
          <w:rtlGutter w:val="0"/>
          <w:docGrid w:linePitch="360"/>
        </w:sectPr>
      </w:pPr>
      <w:r>
        <w:rPr>
          <w:i/>
          <w:iCs/>
          <w:color w:val="000000"/>
          <w:spacing w:val="0"/>
          <w:w w:val="100"/>
          <w:position w:val="0"/>
          <w:shd w:val="clear" w:color="auto" w:fill="auto"/>
          <w:lang w:val="ru-RU" w:eastAsia="ru-RU" w:bidi="ru-RU"/>
        </w:rPr>
        <w:t xml:space="preserve">Одновременно с этим сообщаем, что в целях реализации проекта федерального </w:t>
      </w:r>
    </w:p>
    <w:p>
      <w:pPr>
        <w:pStyle w:val="Style15"/>
        <w:keepNext w:val="0"/>
        <w:keepLines w:val="0"/>
        <w:widowControl w:val="0"/>
        <w:shd w:val="clear" w:color="auto" w:fill="auto"/>
        <w:bidi w:val="0"/>
        <w:spacing w:before="0" w:after="360"/>
        <w:ind w:left="0" w:right="0" w:firstLine="0"/>
        <w:jc w:val="both"/>
      </w:pPr>
      <w:r>
        <w:rPr>
          <w:i/>
          <w:iCs/>
          <w:color w:val="000000"/>
          <w:spacing w:val="0"/>
          <w:w w:val="100"/>
          <w:position w:val="0"/>
          <w:shd w:val="clear" w:color="auto" w:fill="auto"/>
          <w:lang w:val="ru-RU" w:eastAsia="ru-RU" w:bidi="ru-RU"/>
        </w:rPr>
        <w:t>закона № 1217589-7 «О внесении изменений в Федеральный закон «О безопасности гидротехнических сооружений», принятого Государственной Думой Федерального Собрания Российской Федерации в ; первом чтении 17 ноября 2021 г., Ростехнадзором подготовлены проекты актов Правительства Российской Федерации и Ростехнадзора, предусматривающие прямые запреты на проведение экспертизы и составления декларации безопасности гидротехнических сооружений одним юридическим лицом».</w:t>
      </w:r>
    </w:p>
    <w:p>
      <w:pPr>
        <w:pStyle w:val="Style15"/>
        <w:keepNext w:val="0"/>
        <w:keepLines w:val="0"/>
        <w:widowControl w:val="0"/>
        <w:shd w:val="clear" w:color="auto" w:fill="auto"/>
        <w:bidi w:val="0"/>
        <w:spacing w:before="0" w:after="0" w:line="283" w:lineRule="auto"/>
        <w:ind w:left="0" w:right="0" w:firstLine="580"/>
        <w:jc w:val="both"/>
      </w:pPr>
      <w:r>
        <w:rPr>
          <w:color w:val="000000"/>
          <w:spacing w:val="0"/>
          <w:w w:val="100"/>
          <w:position w:val="0"/>
          <w:shd w:val="clear" w:color="auto" w:fill="auto"/>
          <w:lang w:val="ru-RU" w:eastAsia="ru-RU" w:bidi="ru-RU"/>
        </w:rPr>
        <w:t>Как было указано ранее, в Извещении Заказчиком установлено следующее требование к участникам закупки:</w:t>
      </w:r>
    </w:p>
    <w:p>
      <w:pPr>
        <w:pStyle w:val="Style12"/>
        <w:keepNext w:val="0"/>
        <w:keepLines w:val="0"/>
        <w:widowControl w:val="0"/>
        <w:shd w:val="clear" w:color="auto" w:fill="auto"/>
        <w:bidi w:val="0"/>
        <w:spacing w:before="0" w:after="0" w:line="283" w:lineRule="auto"/>
        <w:ind w:left="0" w:right="0" w:firstLine="560"/>
        <w:jc w:val="both"/>
      </w:pPr>
      <w:r>
        <w:rPr>
          <w:color w:val="000000"/>
          <w:spacing w:val="0"/>
          <w:w w:val="100"/>
          <w:position w:val="0"/>
          <w:sz w:val="24"/>
          <w:szCs w:val="24"/>
          <w:shd w:val="clear" w:color="auto" w:fill="auto"/>
          <w:lang w:val="ru-RU" w:eastAsia="ru-RU" w:bidi="ru-RU"/>
        </w:rPr>
        <w:t>«Требование к участникам закупок в соответствии сп. 1 ч. 1 ст. 31 Закона № 44-ФЗ:</w:t>
      </w:r>
    </w:p>
    <w:p>
      <w:pPr>
        <w:pStyle w:val="Style12"/>
        <w:keepNext w:val="0"/>
        <w:keepLines w:val="0"/>
        <w:widowControl w:val="0"/>
        <w:shd w:val="clear" w:color="auto" w:fill="auto"/>
        <w:bidi w:val="0"/>
        <w:spacing w:before="0" w:after="0" w:line="283" w:lineRule="auto"/>
        <w:ind w:left="0" w:right="0" w:firstLine="580"/>
        <w:jc w:val="both"/>
      </w:pPr>
      <w:r>
        <w:rPr>
          <w:color w:val="000000"/>
          <w:spacing w:val="0"/>
          <w:w w:val="100"/>
          <w:position w:val="0"/>
          <w:sz w:val="24"/>
          <w:szCs w:val="24"/>
          <w:shd w:val="clear" w:color="auto" w:fill="auto"/>
          <w:lang w:val="ru-RU" w:eastAsia="ru-RU" w:bidi="ru-RU"/>
        </w:rPr>
        <w:t xml:space="preserve">Требования, предъявляемые к участникам .закупки, и исчерпывающий перечень документов, которые должны быть представлены участниками закупки в соответствии с пунктом 1 части 1 статьи 31 Федерального закона № 44-ФЗ: </w:t>
      </w:r>
      <w:r>
        <w:rPr>
          <w:color w:val="000000"/>
          <w:spacing w:val="0"/>
          <w:w w:val="100"/>
          <w:position w:val="0"/>
          <w:sz w:val="24"/>
          <w:szCs w:val="24"/>
          <w:u w:val="single"/>
          <w:shd w:val="clear" w:color="auto" w:fill="auto"/>
          <w:lang w:val="ru-RU" w:eastAsia="ru-RU" w:bidi="ru-RU"/>
        </w:rPr>
        <w:t>Наличие уведомления о включении организации в перечень экспертных центров, проводящих государственную экспертизу деклараиии безопасности гидротехнических сооружений, утвержденного Федеральной службой по экологическому, технологическому и атомному надзору (Ростехнадзор)</w:t>
      </w:r>
      <w:r>
        <w:rPr>
          <w:color w:val="000000"/>
          <w:spacing w:val="0"/>
          <w:w w:val="100"/>
          <w:position w:val="0"/>
          <w:sz w:val="24"/>
          <w:szCs w:val="24"/>
          <w:shd w:val="clear" w:color="auto" w:fill="auto"/>
          <w:lang w:val="ru-RU" w:eastAsia="ru-RU" w:bidi="ru-RU"/>
        </w:rPr>
        <w:t>».</w:t>
      </w:r>
    </w:p>
    <w:p>
      <w:pPr>
        <w:pStyle w:val="Style15"/>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Вместе с тем, в Описании объекта {закупки Заказчиком в пункте 3.2 «Состав (перечень) и результат оказываемых услуг» установлены в том числе:</w:t>
      </w:r>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«I. Подготовительные работы.</w:t>
      </w:r>
    </w:p>
    <w:p>
      <w:pPr>
        <w:pStyle w:val="Style12"/>
        <w:keepNext w:val="0"/>
        <w:keepLines w:val="0"/>
        <w:widowControl w:val="0"/>
        <w:numPr>
          <w:ilvl w:val="0"/>
          <w:numId w:val="23"/>
        </w:numPr>
        <w:shd w:val="clear" w:color="auto" w:fill="auto"/>
        <w:tabs>
          <w:tab w:pos="903" w:val="left"/>
          <w:tab w:pos="4937" w:val="left"/>
        </w:tabs>
        <w:bidi w:val="0"/>
        <w:spacing w:before="0" w:after="0"/>
        <w:ind w:left="0" w:right="0" w:firstLine="580"/>
        <w:jc w:val="both"/>
      </w:pPr>
      <w:r>
        <w:rPr>
          <w:color w:val="000000"/>
          <w:spacing w:val="0"/>
          <w:w w:val="100"/>
          <w:position w:val="0"/>
          <w:sz w:val="24"/>
          <w:szCs w:val="24"/>
          <w:shd w:val="clear" w:color="auto" w:fill="auto"/>
          <w:lang w:val="ru-RU" w:eastAsia="ru-RU" w:bidi="ru-RU"/>
        </w:rPr>
        <w:t>Разработка расчета вероятного вреда, который может быть причинен жизни, здоровью физических, имуществу физических и юридических лиц в результате аварии ГТС (далее - расчета вероятного вреда) и необходимых приложений к нему, основываясь на исходных данных, собранных в ходе обследования.</w:t>
        <w:tab/>
        <w:t>{;</w:t>
      </w:r>
    </w:p>
    <w:p>
      <w:pPr>
        <w:pStyle w:val="Style12"/>
        <w:keepNext w:val="0"/>
        <w:keepLines w:val="0"/>
        <w:widowControl w:val="0"/>
        <w:numPr>
          <w:ilvl w:val="0"/>
          <w:numId w:val="23"/>
        </w:numPr>
        <w:shd w:val="clear" w:color="auto" w:fill="auto"/>
        <w:tabs>
          <w:tab w:pos="1405" w:val="left"/>
          <w:tab w:pos="4937" w:val="left"/>
        </w:tabs>
        <w:bidi w:val="0"/>
        <w:spacing w:before="0" w:after="0"/>
        <w:ind w:left="560" w:right="0"/>
        <w:jc w:val="both"/>
      </w:pPr>
      <w:r>
        <w:rPr>
          <w:color w:val="000000"/>
          <w:spacing w:val="0"/>
          <w:w w:val="100"/>
          <w:position w:val="0"/>
          <w:sz w:val="24"/>
          <w:szCs w:val="24"/>
          <w:shd w:val="clear" w:color="auto" w:fill="auto"/>
          <w:lang w:val="ru-RU" w:eastAsia="ru-RU" w:bidi="ru-RU"/>
        </w:rPr>
        <w:t>Разработка декларации безопасности. | а также:</w:t>
        <w:tab/>
        <w:t>|</w:t>
      </w:r>
    </w:p>
    <w:p>
      <w:pPr>
        <w:pStyle w:val="Style12"/>
        <w:keepNext w:val="0"/>
        <w:keepLines w:val="0"/>
        <w:widowControl w:val="0"/>
        <w:numPr>
          <w:ilvl w:val="0"/>
          <w:numId w:val="23"/>
        </w:numPr>
        <w:shd w:val="clear" w:color="auto" w:fill="auto"/>
        <w:tabs>
          <w:tab w:pos="946" w:val="left"/>
        </w:tabs>
        <w:bidi w:val="0"/>
        <w:spacing w:before="0" w:after="0"/>
        <w:ind w:left="0" w:right="0" w:firstLine="580"/>
        <w:jc w:val="both"/>
      </w:pPr>
      <w:r>
        <w:rPr>
          <w:color w:val="000000"/>
          <w:spacing w:val="0"/>
          <w:w w:val="100"/>
          <w:position w:val="0"/>
          <w:sz w:val="24"/>
          <w:szCs w:val="24"/>
          <w:shd w:val="clear" w:color="auto" w:fill="auto"/>
          <w:lang w:val="ru-RU" w:eastAsia="ru-RU" w:bidi="ru-RU"/>
        </w:rPr>
        <w:t>Сопровождение разработанной декларации безопасности ГТС, при проведении экспертизы в экспертном центре, поднадзорном федеральной службе по экологическому, технологическому и атомному надзору, с исправлением замечаний экспертного органа;</w:t>
      </w:r>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 Получение экспертного заключения по декларации безопасности ГТС;</w:t>
      </w:r>
    </w:p>
    <w:p>
      <w:pPr>
        <w:pStyle w:val="Style12"/>
        <w:keepNext w:val="0"/>
        <w:keepLines w:val="0"/>
        <w:widowControl w:val="0"/>
        <w:shd w:val="clear" w:color="auto" w:fill="auto"/>
        <w:tabs>
          <w:tab w:pos="4937" w:val="left"/>
        </w:tabs>
        <w:bidi w:val="0"/>
        <w:spacing w:before="0" w:after="0"/>
        <w:ind w:left="0" w:right="0" w:firstLine="580"/>
        <w:jc w:val="both"/>
      </w:pPr>
      <w:r>
        <w:rPr>
          <w:color w:val="000000"/>
          <w:spacing w:val="0"/>
          <w:w w:val="100"/>
          <w:position w:val="0"/>
          <w:sz w:val="24"/>
          <w:szCs w:val="24"/>
          <w:shd w:val="clear" w:color="auto" w:fill="auto"/>
          <w:lang w:val="ru-RU" w:eastAsia="ru-RU" w:bidi="ru-RU"/>
        </w:rPr>
        <w:t>Государственная экспертиза декларации безопасности гидротехнического сооружения проводится экспертными центрами, определяемыми федеральной службой по экологическому, технологическому и атомному надзору</w:t>
        <w:tab/>
        <w:t>?</w:t>
      </w:r>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V. Утверждение экспертного заключения по декларации безопасности вместе с декларацией безопасности гидротехнического сооружения в Федеральной службе по экологическому, технологическому и атомному надзору».</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Кроме того, в пункте 12.1 проекта контракта Заказчиком указано:</w:t>
      </w:r>
    </w:p>
    <w:p>
      <w:pPr>
        <w:pStyle w:val="Style12"/>
        <w:keepNext w:val="0"/>
        <w:keepLines w:val="0"/>
        <w:widowControl w:val="0"/>
        <w:shd w:val="clear" w:color="auto" w:fill="auto"/>
        <w:bidi w:val="0"/>
        <w:spacing w:before="0" w:after="0" w:line="288" w:lineRule="auto"/>
        <w:ind w:left="0" w:right="0" w:firstLine="580"/>
        <w:jc w:val="both"/>
        <w:rPr>
          <w:sz w:val="28"/>
          <w:szCs w:val="28"/>
        </w:rPr>
      </w:pPr>
      <w:r>
        <w:rPr>
          <w:color w:val="000000"/>
          <w:spacing w:val="0"/>
          <w:w w:val="100"/>
          <w:position w:val="0"/>
          <w:sz w:val="24"/>
          <w:szCs w:val="24"/>
          <w:shd w:val="clear" w:color="auto" w:fill="auto"/>
          <w:lang w:val="ru-RU" w:eastAsia="ru-RU" w:bidi="ru-RU"/>
        </w:rPr>
        <w:t>«Исполнитель не имеет права передавать свои права и обязанности, предусмотренные настоящим Контрактом, третьим лицам, за исключением случая, если новая сторона является правопреемником по такому контракту вследствие реорганизации юридического лица в форме преобразования, слияния или присоединения».</w:t>
      </w:r>
      <w:r>
        <w:rPr>
          <w:rFonts w:ascii="Arial" w:eastAsia="Arial" w:hAnsi="Arial" w:cs="Arial"/>
          <w:i w:val="0"/>
          <w:iCs w:val="0"/>
          <w:color w:val="000000"/>
          <w:spacing w:val="0"/>
          <w:w w:val="100"/>
          <w:position w:val="0"/>
          <w:sz w:val="28"/>
          <w:szCs w:val="28"/>
          <w:shd w:val="clear" w:color="auto" w:fill="auto"/>
          <w:lang w:val="ru-RU" w:eastAsia="ru-RU" w:bidi="ru-RU"/>
        </w:rPr>
        <w:t xml:space="preserve"> I</w:t>
      </w:r>
    </w:p>
    <w:p>
      <w:pPr>
        <w:pStyle w:val="Style15"/>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Таким образом, на основании вышеизложенного следует, что оказание услуг, поименованных в разделах I, II, III (оказание услуг, связанных с разработкой Декларации) и в разделах IV, V (оказание услуг связанных с проведением экспертизы Декларации) Описания объекта закупки должно быть выполнено одним и тем же участником закупки (победителем Аукциона, без права передачи соисполнителям), разрабатывающим Декларацию и в дальнейшем проводящим экспертизу данной Декларации в экспертном центре этого участника закупки, поскольку установлено требование в Извещении о предоставлении в составе заявки участником закупки такого документа как «уведомление о включении организации в перечень экспертных центров, проводящих государственную экспертизу декларации безопасности гидротехнических сооружений, утвержденного Федеральной службой по экологическому, технологическому! и атомному надзору (Ростехнадзор)», что в свою очередь противоречит положениям Постановления Правительства № 1892 и Приказа № 523 в части разработки декларации безопасности ГТС, так как законодательством РФ и нормативно-правовыми актами требований к организациям, оказывающим данный вид услуг, не установлено, в отличие от проведения экспертизы декларации безопасности ПГС экспертами экспертных центров.</w:t>
      </w:r>
    </w:p>
    <w:p>
      <w:pPr>
        <w:pStyle w:val="Style15"/>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Таким образом, действия Заказчика, включившего в описание одного объекта закупки работы (услуги), для выполнения которых требуется наличие соответствующего документа (уведомления о включении организации в перечень экспертных центров, проводящих государственную экспертизу декларации безопасности гидротехнических сооружений, утвержденного Федеральной службой по экологическому, технологическому и атомному надзору (Ростехнадзор)), а также работы (услуги), для выполнения котбрых такой документ не требуется, влекут за собой ограничение количества участников закупки и нарушают часть 6 статьи 31 и пункт 1 части 1 статьи 33 Закона о контрактной системе, что содержит признаки состава административного правонарушения, ответственность за которое предусмотрена частями 4 и 4.1 статьи 7.30 КоАП РФ.</w:t>
      </w:r>
    </w:p>
    <w:p>
      <w:pPr>
        <w:pStyle w:val="Style15"/>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Изложенное подтверждается результатами проведенного Аукциона, а именно: согласно Протокола подведения итогов определения поставщика (подрядчика, исполнителя) от 28.02.2023 №ИЭА1 заявки трех участников закупки из четырех отклонены по одному и тому же {основанию: в составе заявок участников отсутствует документ: «уведомление о включении организации в перечень экспертных центров, проводящих государственную экспертизу декларации безопасности гидротехнических сооружений, утвержденного Федеральной службой по экологическому, технологическому и атомному надзору (Ростехнадзор))».</w:t>
      </w:r>
    </w:p>
    <w:p>
      <w:pPr>
        <w:pStyle w:val="Style15"/>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 соответствии с пунктом 3.35 Административного регламента принято</w:t>
        <w:br w:type="page"/>
      </w:r>
      <w:r>
        <w:rPr>
          <w:color w:val="000000"/>
          <w:spacing w:val="0"/>
          <w:w w:val="100"/>
          <w:position w:val="0"/>
          <w:shd w:val="clear" w:color="auto" w:fill="auto"/>
          <w:lang w:val="ru-RU" w:eastAsia="ru-RU" w:bidi="ru-RU"/>
        </w:rPr>
        <w:t>решение выдать Заказчику и его комиссии, оператору электронной площадки обязательное для исполнения предписание об аннулировании закупки № 0380200000123000695, поскольку выявленные нарушения являются существенными и повлияли на результаты определения поставщика.</w:t>
      </w:r>
    </w:p>
    <w:p>
      <w:pPr>
        <w:pStyle w:val="Style15"/>
        <w:keepNext w:val="0"/>
        <w:keepLines w:val="0"/>
        <w:widowControl w:val="0"/>
        <w:shd w:val="clear" w:color="auto" w:fill="auto"/>
        <w:bidi w:val="0"/>
        <w:spacing w:before="0" w:after="360"/>
        <w:ind w:left="0" w:right="0" w:firstLine="580"/>
        <w:jc w:val="both"/>
      </w:pPr>
      <w:r>
        <w:rPr>
          <w:color w:val="000000"/>
          <w:spacing w:val="0"/>
          <w:w w:val="100"/>
          <w:position w:val="0"/>
          <w:shd w:val="clear" w:color="auto" w:fill="auto"/>
          <w:lang w:val="ru-RU" w:eastAsia="ru-RU" w:bidi="ru-RU"/>
        </w:rPr>
        <w:t>На основании изложенного и руководствуясь положениями Закона о контрактной системе, Административным регламентом, Комиссия,</w:t>
      </w:r>
    </w:p>
    <w:p>
      <w:pPr>
        <w:pStyle w:val="Style15"/>
        <w:keepNext w:val="0"/>
        <w:keepLines w:val="0"/>
        <w:widowControl w:val="0"/>
        <w:shd w:val="clear" w:color="auto" w:fill="auto"/>
        <w:bidi w:val="0"/>
        <w:spacing w:before="0" w:after="42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5"/>
        <w:keepNext w:val="0"/>
        <w:keepLines w:val="0"/>
        <w:widowControl w:val="0"/>
        <w:numPr>
          <w:ilvl w:val="0"/>
          <w:numId w:val="25"/>
        </w:numPr>
        <w:shd w:val="clear" w:color="auto" w:fill="auto"/>
        <w:tabs>
          <w:tab w:pos="1003" w:val="left"/>
        </w:tabs>
        <w:bidi w:val="0"/>
        <w:spacing w:before="0" w:after="0"/>
        <w:ind w:left="0" w:right="0" w:firstLine="580"/>
        <w:jc w:val="both"/>
      </w:pPr>
      <w:r>
        <w:rPr>
          <w:color w:val="000000"/>
          <w:spacing w:val="0"/>
          <w:w w:val="100"/>
          <w:position w:val="0"/>
          <w:shd w:val="clear" w:color="auto" w:fill="auto"/>
          <w:lang w:val="ru-RU" w:eastAsia="ru-RU" w:bidi="ru-RU"/>
        </w:rPr>
        <w:t>Признать жалобу ООО «ТехГидроПроект» на действия комиссии по осуществлению закупок уполномоченного органа необоснованной.</w:t>
      </w:r>
    </w:p>
    <w:p>
      <w:pPr>
        <w:pStyle w:val="Style15"/>
        <w:keepNext w:val="0"/>
        <w:keepLines w:val="0"/>
        <w:widowControl w:val="0"/>
        <w:numPr>
          <w:ilvl w:val="0"/>
          <w:numId w:val="25"/>
        </w:numPr>
        <w:shd w:val="clear" w:color="auto" w:fill="auto"/>
        <w:tabs>
          <w:tab w:pos="1003" w:val="left"/>
        </w:tabs>
        <w:bidi w:val="0"/>
        <w:spacing w:before="0" w:after="0"/>
        <w:ind w:left="0" w:right="0" w:firstLine="580"/>
        <w:jc w:val="both"/>
      </w:pPr>
      <w:r>
        <w:rPr>
          <w:color w:val="000000"/>
          <w:spacing w:val="0"/>
          <w:w w:val="100"/>
          <w:position w:val="0"/>
          <w:shd w:val="clear" w:color="auto" w:fill="auto"/>
          <w:lang w:val="ru-RU" w:eastAsia="ru-RU" w:bidi="ru-RU"/>
        </w:rPr>
        <w:t>В соответствии с положениями' пункта 1 части 2 статьи 105 Закона о контрактной системе рассмотрение довода жалобы на положения Извещения № 0380200000123000695 и электронных документов к нему не проводить.</w:t>
      </w:r>
    </w:p>
    <w:p>
      <w:pPr>
        <w:pStyle w:val="Style15"/>
        <w:keepNext w:val="0"/>
        <w:keepLines w:val="0"/>
        <w:widowControl w:val="0"/>
        <w:numPr>
          <w:ilvl w:val="0"/>
          <w:numId w:val="25"/>
        </w:numPr>
        <w:shd w:val="clear" w:color="auto" w:fill="auto"/>
        <w:tabs>
          <w:tab w:pos="1003" w:val="left"/>
        </w:tabs>
        <w:bidi w:val="0"/>
        <w:spacing w:before="0" w:after="0"/>
        <w:ind w:left="0" w:right="0" w:firstLine="580"/>
        <w:jc w:val="both"/>
      </w:pPr>
      <w:r>
        <w:rPr>
          <w:color w:val="000000"/>
          <w:spacing w:val="0"/>
          <w:w w:val="100"/>
          <w:position w:val="0"/>
          <w:shd w:val="clear" w:color="auto" w:fill="auto"/>
          <w:lang w:val="ru-RU" w:eastAsia="ru-RU" w:bidi="ru-RU"/>
        </w:rPr>
        <w:t>Признать Заказчика нарушившим часть 6 статьи 31 и пункт 1 части 1 статьи 33 Закона о контрактной системе.</w:t>
      </w:r>
    </w:p>
    <w:p>
      <w:pPr>
        <w:pStyle w:val="Style15"/>
        <w:keepNext w:val="0"/>
        <w:keepLines w:val="0"/>
        <w:widowControl w:val="0"/>
        <w:numPr>
          <w:ilvl w:val="0"/>
          <w:numId w:val="25"/>
        </w:numPr>
        <w:shd w:val="clear" w:color="auto" w:fill="auto"/>
        <w:tabs>
          <w:tab w:pos="1003" w:val="left"/>
        </w:tabs>
        <w:bidi w:val="0"/>
        <w:spacing w:before="0" w:after="0"/>
        <w:ind w:left="0" w:right="0" w:firstLine="580"/>
        <w:jc w:val="both"/>
      </w:pPr>
      <w:r>
        <w:rPr>
          <w:color w:val="000000"/>
          <w:spacing w:val="0"/>
          <w:w w:val="100"/>
          <w:position w:val="0"/>
          <w:shd w:val="clear" w:color="auto" w:fill="auto"/>
          <w:lang w:val="ru-RU" w:eastAsia="ru-RU" w:bidi="ru-RU"/>
        </w:rPr>
        <w:t>Заказчику, уполномоченному органу и его комиссии, оператору электронной площадки выдать предписание об аннулировании закупки.</w:t>
      </w:r>
    </w:p>
    <w:p>
      <w:pPr>
        <w:pStyle w:val="Style15"/>
        <w:keepNext w:val="0"/>
        <w:keepLines w:val="0"/>
        <w:widowControl w:val="0"/>
        <w:numPr>
          <w:ilvl w:val="0"/>
          <w:numId w:val="25"/>
        </w:numPr>
        <w:shd w:val="clear" w:color="auto" w:fill="auto"/>
        <w:tabs>
          <w:tab w:pos="1003" w:val="left"/>
        </w:tabs>
        <w:bidi w:val="0"/>
        <w:spacing w:before="0" w:after="240"/>
        <w:ind w:left="0" w:right="0" w:firstLine="580"/>
        <w:jc w:val="both"/>
      </w:pPr>
      <w:r>
        <w:rPr>
          <w:color w:val="000000"/>
          <w:spacing w:val="0"/>
          <w:w w:val="100"/>
          <w:position w:val="0"/>
          <w:shd w:val="clear" w:color="auto" w:fill="auto"/>
          <w:lang w:val="ru-RU" w:eastAsia="ru-RU" w:bidi="ru-RU"/>
        </w:rPr>
        <w:t>Передать материалы жалобы должностному лицу Управления Федеральной антимонопольной службы по Республике Хакасия для рассмотрения вопроса о возбуждении дела об административном правонарушении.</w:t>
      </w:r>
    </w:p>
    <w:p>
      <w:pPr>
        <w:pStyle w:val="Style4"/>
        <w:keepNext w:val="0"/>
        <w:keepLines w:val="0"/>
        <w:widowControl w:val="0"/>
        <w:shd w:val="clear" w:color="auto" w:fill="auto"/>
        <w:tabs>
          <w:tab w:pos="4909" w:val="left"/>
        </w:tabs>
        <w:bidi w:val="0"/>
        <w:spacing w:before="0" w:after="240" w:line="307" w:lineRule="auto"/>
        <w:ind w:left="0" w:right="0" w:firstLine="580"/>
        <w:jc w:val="both"/>
        <w:rPr>
          <w:sz w:val="28"/>
          <w:szCs w:val="28"/>
        </w:rPr>
      </w:pPr>
      <w:r>
        <w:rPr>
          <w:color w:val="000000"/>
          <w:spacing w:val="0"/>
          <w:w w:val="100"/>
          <w:position w:val="0"/>
          <w:sz w:val="19"/>
          <w:szCs w:val="19"/>
          <w:shd w:val="clear" w:color="auto" w:fill="auto"/>
          <w:lang w:val="ru-RU" w:eastAsia="ru-RU" w:bidi="ru-RU"/>
        </w:rPr>
        <w:t>Настоящее решение может быть обжаловано &gt;в суде, арбитражном суде в течение трех месяцев в установленном законом порядке.</w:t>
      </w:r>
      <w:r>
        <w:rPr>
          <w:i w:val="0"/>
          <w:iCs w:val="0"/>
          <w:color w:val="000000"/>
          <w:spacing w:val="0"/>
          <w:w w:val="100"/>
          <w:position w:val="0"/>
          <w:sz w:val="28"/>
          <w:szCs w:val="28"/>
          <w:shd w:val="clear" w:color="auto" w:fill="auto"/>
          <w:lang w:val="ru-RU" w:eastAsia="ru-RU" w:bidi="ru-RU"/>
        </w:rPr>
        <w:tab/>
        <w:t>Г</w:t>
      </w:r>
    </w:p>
    <w:p>
      <w:pPr>
        <w:pStyle w:val="Style15"/>
        <w:keepNext w:val="0"/>
        <w:keepLines w:val="0"/>
        <w:widowControl w:val="0"/>
        <w:shd w:val="clear" w:color="auto" w:fill="auto"/>
        <w:tabs>
          <w:tab w:pos="4909" w:val="left"/>
          <w:tab w:pos="7902" w:val="left"/>
        </w:tabs>
        <w:bidi w:val="0"/>
        <w:spacing w:before="0" w:after="360"/>
        <w:ind w:left="0" w:right="0" w:firstLine="160"/>
        <w:jc w:val="both"/>
      </w:pPr>
      <w:r>
        <w:rPr>
          <w:color w:val="000000"/>
          <w:spacing w:val="0"/>
          <w:w w:val="100"/>
          <w:position w:val="0"/>
          <w:shd w:val="clear" w:color="auto" w:fill="auto"/>
          <w:lang w:val="ru-RU" w:eastAsia="ru-RU" w:bidi="ru-RU"/>
        </w:rPr>
        <w:t>Председатель комиссии:</w:t>
        <w:tab/>
        <w:t>|</w:t>
        <w:tab/>
        <w:t>&lt;</w:t>
      </w:r>
    </w:p>
    <w:p>
      <w:pPr>
        <w:pStyle w:val="Style15"/>
        <w:keepNext w:val="0"/>
        <w:keepLines w:val="0"/>
        <w:widowControl w:val="0"/>
        <w:shd w:val="clear" w:color="auto" w:fill="auto"/>
        <w:bidi w:val="0"/>
        <w:spacing w:before="0" w:after="2720" w:line="240" w:lineRule="auto"/>
        <w:ind w:left="0" w:right="0" w:firstLine="160"/>
        <w:jc w:val="both"/>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Исп.Сизов К.А.</w:t>
      </w:r>
    </w:p>
    <w:p>
      <w:pPr>
        <w:pStyle w:val="Style12"/>
        <w:keepNext w:val="0"/>
        <w:keepLines w:val="0"/>
        <w:widowControl w:val="0"/>
        <w:shd w:val="clear" w:color="auto" w:fill="auto"/>
        <w:bidi w:val="0"/>
        <w:spacing w:before="0" w:after="360" w:line="240" w:lineRule="auto"/>
        <w:ind w:left="0" w:right="0" w:firstLine="0"/>
        <w:jc w:val="both"/>
        <w:rPr>
          <w:sz w:val="22"/>
          <w:szCs w:val="22"/>
        </w:rPr>
      </w:pPr>
      <w:r>
        <w:drawing>
          <wp:anchor distT="0" distB="0" distL="0" distR="0" simplePos="0" relativeHeight="62914731" behindDoc="1" locked="0" layoutInCell="1" allowOverlap="1">
            <wp:simplePos x="0" y="0"/>
            <wp:positionH relativeFrom="margin">
              <wp:posOffset>3579495</wp:posOffset>
            </wp:positionH>
            <wp:positionV relativeFrom="margin">
              <wp:posOffset>5803265</wp:posOffset>
            </wp:positionV>
            <wp:extent cx="1682750" cy="1676400"/>
            <wp:wrapNone/>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29"/>
                    <a:stretch/>
                  </pic:blipFill>
                  <pic:spPr>
                    <a:xfrm>
                      <a:ext cx="1682750" cy="1676400"/>
                    </a:xfrm>
                    <a:prstGeom prst="rect"/>
                  </pic:spPr>
                </pic:pic>
              </a:graphicData>
            </a:graphic>
          </wp:anchor>
        </w:drawing>
      </w:r>
      <w:r>
        <w:rPr>
          <w:i w:val="0"/>
          <w:iCs w:val="0"/>
          <w:color w:val="000000"/>
          <w:spacing w:val="0"/>
          <w:w w:val="100"/>
          <w:position w:val="0"/>
          <w:sz w:val="22"/>
          <w:szCs w:val="22"/>
          <w:shd w:val="clear" w:color="auto" w:fill="auto"/>
          <w:lang w:val="ru-RU" w:eastAsia="ru-RU" w:bidi="ru-RU"/>
        </w:rPr>
        <w:t>тел.(3902) 22-66-21</w:t>
      </w:r>
    </w:p>
    <w:sectPr>
      <w:headerReference w:type="default" r:id="rId31"/>
      <w:footerReference w:type="default" r:id="rId32"/>
      <w:headerReference w:type="even" r:id="rId33"/>
      <w:footerReference w:type="even" r:id="rId34"/>
      <w:headerReference w:type="first" r:id="rId35"/>
      <w:footerReference w:type="first" r:id="rId36"/>
      <w:footnotePr>
        <w:pos w:val="pageBottom"/>
        <w:numFmt w:val="decimal"/>
        <w:numRestart w:val="continuous"/>
      </w:footnotePr>
      <w:pgSz w:w="11900" w:h="16840"/>
      <w:pgMar w:top="1298" w:right="520" w:bottom="1185" w:left="1032" w:header="0" w:footer="3" w:gutter="0"/>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675005</wp:posOffset>
              </wp:positionH>
              <wp:positionV relativeFrom="page">
                <wp:posOffset>9982200</wp:posOffset>
              </wp:positionV>
              <wp:extent cx="658495" cy="113030"/>
              <wp:wrapNone/>
              <wp:docPr id="7" name="Shape 7"/>
              <a:graphic xmlns:a="http://schemas.openxmlformats.org/drawingml/2006/main">
                <a:graphicData uri="http://schemas.microsoft.com/office/word/2010/wordprocessingShape">
                  <wps:wsp>
                    <wps:cNvSpPr txBox="1"/>
                    <wps:spPr>
                      <a:xfrm>
                        <a:ext cx="658495" cy="1130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wps:txbx>
                    <wps:bodyPr wrap="none" lIns="0" tIns="0" rIns="0" bIns="0">
                      <a:spAutoFit/>
                    </wps:bodyPr>
                  </wps:wsp>
                </a:graphicData>
              </a:graphic>
            </wp:anchor>
          </w:drawing>
        </mc:Choice>
        <mc:Fallback>
          <w:pict>
            <v:shape id="_x0000_s1033" type="#_x0000_t202" style="position:absolute;margin-left:53.149999999999999pt;margin-top:786.pt;width:51.850000000000001pt;height:8.9000000000000004pt;z-index:-188744060;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675005</wp:posOffset>
              </wp:positionH>
              <wp:positionV relativeFrom="page">
                <wp:posOffset>9982200</wp:posOffset>
              </wp:positionV>
              <wp:extent cx="658495" cy="113030"/>
              <wp:wrapNone/>
              <wp:docPr id="11" name="Shape 11"/>
              <a:graphic xmlns:a="http://schemas.openxmlformats.org/drawingml/2006/main">
                <a:graphicData uri="http://schemas.microsoft.com/office/word/2010/wordprocessingShape">
                  <wps:wsp>
                    <wps:cNvSpPr txBox="1"/>
                    <wps:spPr>
                      <a:xfrm>
                        <a:ext cx="658495" cy="1130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wps:txbx>
                    <wps:bodyPr wrap="none" lIns="0" tIns="0" rIns="0" bIns="0">
                      <a:spAutoFit/>
                    </wps:bodyPr>
                  </wps:wsp>
                </a:graphicData>
              </a:graphic>
            </wp:anchor>
          </w:drawing>
        </mc:Choice>
        <mc:Fallback>
          <w:pict>
            <v:shape id="_x0000_s1037" type="#_x0000_t202" style="position:absolute;margin-left:53.149999999999999pt;margin-top:786.pt;width:51.850000000000001pt;height:8.9000000000000004pt;z-index:-188744056;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675005</wp:posOffset>
              </wp:positionH>
              <wp:positionV relativeFrom="page">
                <wp:posOffset>9982200</wp:posOffset>
              </wp:positionV>
              <wp:extent cx="658495" cy="113030"/>
              <wp:wrapNone/>
              <wp:docPr id="15" name="Shape 15"/>
              <a:graphic xmlns:a="http://schemas.openxmlformats.org/drawingml/2006/main">
                <a:graphicData uri="http://schemas.microsoft.com/office/word/2010/wordprocessingShape">
                  <wps:wsp>
                    <wps:cNvSpPr txBox="1"/>
                    <wps:spPr>
                      <a:xfrm>
                        <a:ext cx="658495" cy="1130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wps:txbx>
                    <wps:bodyPr wrap="none" lIns="0" tIns="0" rIns="0" bIns="0">
                      <a:spAutoFit/>
                    </wps:bodyPr>
                  </wps:wsp>
                </a:graphicData>
              </a:graphic>
            </wp:anchor>
          </w:drawing>
        </mc:Choice>
        <mc:Fallback>
          <w:pict>
            <v:shape id="_x0000_s1041" type="#_x0000_t202" style="position:absolute;margin-left:53.149999999999999pt;margin-top:786.pt;width:51.850000000000001pt;height:8.9000000000000004pt;z-index:-188744052;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675005</wp:posOffset>
              </wp:positionH>
              <wp:positionV relativeFrom="page">
                <wp:posOffset>9982200</wp:posOffset>
              </wp:positionV>
              <wp:extent cx="658495" cy="113030"/>
              <wp:wrapNone/>
              <wp:docPr id="19" name="Shape 19"/>
              <a:graphic xmlns:a="http://schemas.openxmlformats.org/drawingml/2006/main">
                <a:graphicData uri="http://schemas.microsoft.com/office/word/2010/wordprocessingShape">
                  <wps:wsp>
                    <wps:cNvSpPr txBox="1"/>
                    <wps:spPr>
                      <a:xfrm>
                        <a:ext cx="658495" cy="1130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wps:txbx>
                    <wps:bodyPr wrap="none" lIns="0" tIns="0" rIns="0" bIns="0">
                      <a:spAutoFit/>
                    </wps:bodyPr>
                  </wps:wsp>
                </a:graphicData>
              </a:graphic>
            </wp:anchor>
          </w:drawing>
        </mc:Choice>
        <mc:Fallback>
          <w:pict>
            <v:shape id="_x0000_s1045" type="#_x0000_t202" style="position:absolute;margin-left:53.149999999999999pt;margin-top:786.pt;width:51.850000000000001pt;height:8.9000000000000004pt;z-index:-188744048;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691515</wp:posOffset>
              </wp:positionH>
              <wp:positionV relativeFrom="page">
                <wp:posOffset>9966960</wp:posOffset>
              </wp:positionV>
              <wp:extent cx="661670" cy="109855"/>
              <wp:wrapNone/>
              <wp:docPr id="23" name="Shape 23"/>
              <a:graphic xmlns:a="http://schemas.openxmlformats.org/drawingml/2006/main">
                <a:graphicData uri="http://schemas.microsoft.com/office/word/2010/wordprocessingShape">
                  <wps:wsp>
                    <wps:cNvSpPr txBox="1"/>
                    <wps:spPr>
                      <a:xfrm>
                        <a:ext cx="661670"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wps:txbx>
                    <wps:bodyPr wrap="none" lIns="0" tIns="0" rIns="0" bIns="0">
                      <a:spAutoFit/>
                    </wps:bodyPr>
                  </wps:wsp>
                </a:graphicData>
              </a:graphic>
            </wp:anchor>
          </w:drawing>
        </mc:Choice>
        <mc:Fallback>
          <w:pict>
            <v:shape id="_x0000_s1049" type="#_x0000_t202" style="position:absolute;margin-left:54.450000000000003pt;margin-top:784.80000000000007pt;width:52.100000000000001pt;height:8.6500000000000004pt;z-index:-188744044;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3" behindDoc="1" locked="0" layoutInCell="1" allowOverlap="1">
              <wp:simplePos x="0" y="0"/>
              <wp:positionH relativeFrom="page">
                <wp:posOffset>675005</wp:posOffset>
              </wp:positionH>
              <wp:positionV relativeFrom="page">
                <wp:posOffset>9982200</wp:posOffset>
              </wp:positionV>
              <wp:extent cx="658495" cy="113030"/>
              <wp:wrapNone/>
              <wp:docPr id="27" name="Shape 27"/>
              <a:graphic xmlns:a="http://schemas.openxmlformats.org/drawingml/2006/main">
                <a:graphicData uri="http://schemas.microsoft.com/office/word/2010/wordprocessingShape">
                  <wps:wsp>
                    <wps:cNvSpPr txBox="1"/>
                    <wps:spPr>
                      <a:xfrm>
                        <a:ext cx="658495" cy="1130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wps:txbx>
                    <wps:bodyPr wrap="none" lIns="0" tIns="0" rIns="0" bIns="0">
                      <a:spAutoFit/>
                    </wps:bodyPr>
                  </wps:wsp>
                </a:graphicData>
              </a:graphic>
            </wp:anchor>
          </w:drawing>
        </mc:Choice>
        <mc:Fallback>
          <w:pict>
            <v:shape id="_x0000_s1053" type="#_x0000_t202" style="position:absolute;margin-left:53.149999999999999pt;margin-top:786.pt;width:51.850000000000001pt;height:8.9000000000000004pt;z-index:-188744040;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7" behindDoc="1" locked="0" layoutInCell="1" allowOverlap="1">
              <wp:simplePos x="0" y="0"/>
              <wp:positionH relativeFrom="page">
                <wp:posOffset>675005</wp:posOffset>
              </wp:positionH>
              <wp:positionV relativeFrom="page">
                <wp:posOffset>9982200</wp:posOffset>
              </wp:positionV>
              <wp:extent cx="658495" cy="113030"/>
              <wp:wrapNone/>
              <wp:docPr id="31" name="Shape 31"/>
              <a:graphic xmlns:a="http://schemas.openxmlformats.org/drawingml/2006/main">
                <a:graphicData uri="http://schemas.microsoft.com/office/word/2010/wordprocessingShape">
                  <wps:wsp>
                    <wps:cNvSpPr txBox="1"/>
                    <wps:spPr>
                      <a:xfrm>
                        <a:ext cx="658495" cy="1130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wps:txbx>
                    <wps:bodyPr wrap="none" lIns="0" tIns="0" rIns="0" bIns="0">
                      <a:spAutoFit/>
                    </wps:bodyPr>
                  </wps:wsp>
                </a:graphicData>
              </a:graphic>
            </wp:anchor>
          </w:drawing>
        </mc:Choice>
        <mc:Fallback>
          <w:pict>
            <v:shape id="_x0000_s1057" type="#_x0000_t202" style="position:absolute;margin-left:53.149999999999999pt;margin-top:786.pt;width:51.850000000000001pt;height:8.9000000000000004pt;z-index:-188744036;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9" behindDoc="1" locked="0" layoutInCell="1" allowOverlap="1">
              <wp:simplePos x="0" y="0"/>
              <wp:positionH relativeFrom="page">
                <wp:posOffset>696595</wp:posOffset>
              </wp:positionH>
              <wp:positionV relativeFrom="page">
                <wp:posOffset>10163175</wp:posOffset>
              </wp:positionV>
              <wp:extent cx="658495" cy="109855"/>
              <wp:wrapNone/>
              <wp:docPr id="33" name="Shape 33"/>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wps:txbx>
                    <wps:bodyPr wrap="none" lIns="0" tIns="0" rIns="0" bIns="0">
                      <a:spAutoFit/>
                    </wps:bodyPr>
                  </wps:wsp>
                </a:graphicData>
              </a:graphic>
            </wp:anchor>
          </w:drawing>
        </mc:Choice>
        <mc:Fallback>
          <w:pict>
            <v:shape id="_x0000_s1059" type="#_x0000_t202" style="position:absolute;margin-left:54.850000000000001pt;margin-top:800.25pt;width:51.850000000000001pt;height:8.6500000000000004pt;z-index:-188744034;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3" behindDoc="1" locked="0" layoutInCell="1" allowOverlap="1">
              <wp:simplePos x="0" y="0"/>
              <wp:positionH relativeFrom="page">
                <wp:posOffset>675005</wp:posOffset>
              </wp:positionH>
              <wp:positionV relativeFrom="page">
                <wp:posOffset>9982200</wp:posOffset>
              </wp:positionV>
              <wp:extent cx="658495" cy="113030"/>
              <wp:wrapNone/>
              <wp:docPr id="37" name="Shape 37"/>
              <a:graphic xmlns:a="http://schemas.openxmlformats.org/drawingml/2006/main">
                <a:graphicData uri="http://schemas.microsoft.com/office/word/2010/wordprocessingShape">
                  <wps:wsp>
                    <wps:cNvSpPr txBox="1"/>
                    <wps:spPr>
                      <a:xfrm>
                        <a:ext cx="658495" cy="1130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wps:txbx>
                    <wps:bodyPr wrap="none" lIns="0" tIns="0" rIns="0" bIns="0">
                      <a:spAutoFit/>
                    </wps:bodyPr>
                  </wps:wsp>
                </a:graphicData>
              </a:graphic>
            </wp:anchor>
          </w:drawing>
        </mc:Choice>
        <mc:Fallback>
          <w:pict>
            <v:shape id="_x0000_s1063" type="#_x0000_t202" style="position:absolute;margin-left:53.149999999999999pt;margin-top:786.pt;width:51.850000000000001pt;height:8.9000000000000004pt;z-index:-188744030;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7" behindDoc="1" locked="0" layoutInCell="1" allowOverlap="1">
              <wp:simplePos x="0" y="0"/>
              <wp:positionH relativeFrom="page">
                <wp:posOffset>675005</wp:posOffset>
              </wp:positionH>
              <wp:positionV relativeFrom="page">
                <wp:posOffset>9982200</wp:posOffset>
              </wp:positionV>
              <wp:extent cx="658495" cy="113030"/>
              <wp:wrapNone/>
              <wp:docPr id="41" name="Shape 41"/>
              <a:graphic xmlns:a="http://schemas.openxmlformats.org/drawingml/2006/main">
                <a:graphicData uri="http://schemas.microsoft.com/office/word/2010/wordprocessingShape">
                  <wps:wsp>
                    <wps:cNvSpPr txBox="1"/>
                    <wps:spPr>
                      <a:xfrm>
                        <a:ext cx="658495" cy="1130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wps:txbx>
                    <wps:bodyPr wrap="none" lIns="0" tIns="0" rIns="0" bIns="0">
                      <a:spAutoFit/>
                    </wps:bodyPr>
                  </wps:wsp>
                </a:graphicData>
              </a:graphic>
            </wp:anchor>
          </w:drawing>
        </mc:Choice>
        <mc:Fallback>
          <w:pict>
            <v:shape id="_x0000_s1067" type="#_x0000_t202" style="position:absolute;margin-left:53.149999999999999pt;margin-top:786.pt;width:51.850000000000001pt;height:8.9000000000000004pt;z-index:-188744026;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9" behindDoc="1" locked="0" layoutInCell="1" allowOverlap="1">
              <wp:simplePos x="0" y="0"/>
              <wp:positionH relativeFrom="page">
                <wp:posOffset>696595</wp:posOffset>
              </wp:positionH>
              <wp:positionV relativeFrom="page">
                <wp:posOffset>10163175</wp:posOffset>
              </wp:positionV>
              <wp:extent cx="658495" cy="109855"/>
              <wp:wrapNone/>
              <wp:docPr id="43" name="Shape 43"/>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wps:txbx>
                    <wps:bodyPr wrap="none" lIns="0" tIns="0" rIns="0" bIns="0">
                      <a:spAutoFit/>
                    </wps:bodyPr>
                  </wps:wsp>
                </a:graphicData>
              </a:graphic>
            </wp:anchor>
          </w:drawing>
        </mc:Choice>
        <mc:Fallback>
          <w:pict>
            <v:shape id="_x0000_s1069" type="#_x0000_t202" style="position:absolute;margin-left:54.850000000000001pt;margin-top:800.25pt;width:51.850000000000001pt;height:8.6500000000000004pt;z-index:-188744024;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2" behindDoc="1" locked="0" layoutInCell="1" allowOverlap="1">
              <wp:simplePos x="0" y="0"/>
              <wp:positionH relativeFrom="page">
                <wp:posOffset>696595</wp:posOffset>
              </wp:positionH>
              <wp:positionV relativeFrom="page">
                <wp:posOffset>10163175</wp:posOffset>
              </wp:positionV>
              <wp:extent cx="658495" cy="109855"/>
              <wp:wrapNone/>
              <wp:docPr id="47" name="Shape 47"/>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wps:txbx>
                    <wps:bodyPr wrap="none" lIns="0" tIns="0" rIns="0" bIns="0">
                      <a:spAutoFit/>
                    </wps:bodyPr>
                  </wps:wsp>
                </a:graphicData>
              </a:graphic>
            </wp:anchor>
          </w:drawing>
        </mc:Choice>
        <mc:Fallback>
          <w:pict>
            <v:shape id="_x0000_s1073" type="#_x0000_t202" style="position:absolute;margin-left:54.850000000000001pt;margin-top:800.25pt;width:51.850000000000001pt;height:8.6500000000000004pt;z-index:-188744021;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6" behindDoc="1" locked="0" layoutInCell="1" allowOverlap="1">
              <wp:simplePos x="0" y="0"/>
              <wp:positionH relativeFrom="page">
                <wp:posOffset>675005</wp:posOffset>
              </wp:positionH>
              <wp:positionV relativeFrom="page">
                <wp:posOffset>9982200</wp:posOffset>
              </wp:positionV>
              <wp:extent cx="658495" cy="113030"/>
              <wp:wrapNone/>
              <wp:docPr id="51" name="Shape 51"/>
              <a:graphic xmlns:a="http://schemas.openxmlformats.org/drawingml/2006/main">
                <a:graphicData uri="http://schemas.microsoft.com/office/word/2010/wordprocessingShape">
                  <wps:wsp>
                    <wps:cNvSpPr txBox="1"/>
                    <wps:spPr>
                      <a:xfrm>
                        <a:ext cx="658495" cy="11303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wps:txbx>
                    <wps:bodyPr wrap="none" lIns="0" tIns="0" rIns="0" bIns="0">
                      <a:spAutoFit/>
                    </wps:bodyPr>
                  </wps:wsp>
                </a:graphicData>
              </a:graphic>
            </wp:anchor>
          </w:drawing>
        </mc:Choice>
        <mc:Fallback>
          <w:pict>
            <v:shape id="_x0000_s1077" type="#_x0000_t202" style="position:absolute;margin-left:53.149999999999999pt;margin-top:786.pt;width:51.850000000000001pt;height:8.9000000000000004pt;z-index:-188744017;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2023-2004</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0" behindDoc="1" locked="0" layoutInCell="1" allowOverlap="1">
              <wp:simplePos x="0" y="0"/>
              <wp:positionH relativeFrom="page">
                <wp:posOffset>693420</wp:posOffset>
              </wp:positionH>
              <wp:positionV relativeFrom="page">
                <wp:posOffset>9944100</wp:posOffset>
              </wp:positionV>
              <wp:extent cx="3191510" cy="152400"/>
              <wp:wrapNone/>
              <wp:docPr id="55" name="Shape 55"/>
              <a:graphic xmlns:a="http://schemas.openxmlformats.org/drawingml/2006/main">
                <a:graphicData uri="http://schemas.microsoft.com/office/word/2010/wordprocessingShape">
                  <wps:wsp>
                    <wps:cNvSpPr txBox="1"/>
                    <wps:spPr>
                      <a:xfrm>
                        <a:ext cx="3191510" cy="152400"/>
                      </a:xfrm>
                      <a:prstGeom prst="rect"/>
                      <a:noFill/>
                    </wps:spPr>
                    <wps:txbx>
                      <w:txbxContent>
                        <w:p>
                          <w:pPr>
                            <w:pStyle w:val="Style20"/>
                            <w:keepNext w:val="0"/>
                            <w:keepLines w:val="0"/>
                            <w:widowControl w:val="0"/>
                            <w:shd w:val="clear" w:color="auto" w:fill="auto"/>
                            <w:tabs>
                              <w:tab w:pos="5026" w:val="right"/>
                            </w:tabs>
                            <w:bidi w:val="0"/>
                            <w:spacing w:before="0" w:after="0" w:line="240" w:lineRule="auto"/>
                            <w:ind w:left="0" w:right="0" w:firstLine="0"/>
                            <w:jc w:val="left"/>
                            <w:rPr>
                              <w:sz w:val="36"/>
                              <w:szCs w:val="36"/>
                            </w:rPr>
                          </w:pPr>
                          <w:r>
                            <w:rPr>
                              <w:color w:val="000000"/>
                              <w:spacing w:val="0"/>
                              <w:w w:val="100"/>
                              <w:position w:val="0"/>
                              <w:sz w:val="24"/>
                              <w:szCs w:val="24"/>
                              <w:shd w:val="clear" w:color="auto" w:fill="auto"/>
                              <w:lang w:val="ru-RU" w:eastAsia="ru-RU" w:bidi="ru-RU"/>
                            </w:rPr>
                            <w:t>2023-2004</w:t>
                            <w:tab/>
                          </w:r>
                          <w:r>
                            <w:rPr>
                              <w:i/>
                              <w:iCs/>
                              <w:color w:val="000000"/>
                              <w:spacing w:val="0"/>
                              <w:w w:val="100"/>
                              <w:position w:val="0"/>
                              <w:sz w:val="36"/>
                              <w:szCs w:val="36"/>
                              <w:shd w:val="clear" w:color="auto" w:fill="auto"/>
                              <w:lang w:val="ru-RU" w:eastAsia="ru-RU" w:bidi="ru-RU"/>
                            </w:rPr>
                            <w:t>I</w:t>
                          </w:r>
                        </w:p>
                      </w:txbxContent>
                    </wps:txbx>
                    <wps:bodyPr lIns="0" tIns="0" rIns="0" bIns="0">
                      <a:spAutoFit/>
                    </wps:bodyPr>
                  </wps:wsp>
                </a:graphicData>
              </a:graphic>
            </wp:anchor>
          </w:drawing>
        </mc:Choice>
        <mc:Fallback>
          <w:pict>
            <v:shape id="_x0000_s1081" type="#_x0000_t202" style="position:absolute;margin-left:54.600000000000001pt;margin-top:783.pt;width:251.30000000000001pt;height:12.pt;z-index:-188744013;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tabs>
                        <w:tab w:pos="5026" w:val="right"/>
                      </w:tabs>
                      <w:bidi w:val="0"/>
                      <w:spacing w:before="0" w:after="0" w:line="240" w:lineRule="auto"/>
                      <w:ind w:left="0" w:right="0" w:firstLine="0"/>
                      <w:jc w:val="left"/>
                      <w:rPr>
                        <w:sz w:val="36"/>
                        <w:szCs w:val="36"/>
                      </w:rPr>
                    </w:pPr>
                    <w:r>
                      <w:rPr>
                        <w:color w:val="000000"/>
                        <w:spacing w:val="0"/>
                        <w:w w:val="100"/>
                        <w:position w:val="0"/>
                        <w:sz w:val="24"/>
                        <w:szCs w:val="24"/>
                        <w:shd w:val="clear" w:color="auto" w:fill="auto"/>
                        <w:lang w:val="ru-RU" w:eastAsia="ru-RU" w:bidi="ru-RU"/>
                      </w:rPr>
                      <w:t>2023-2004</w:t>
                      <w:tab/>
                    </w:r>
                    <w:r>
                      <w:rPr>
                        <w:i/>
                        <w:iCs/>
                        <w:color w:val="000000"/>
                        <w:spacing w:val="0"/>
                        <w:w w:val="100"/>
                        <w:position w:val="0"/>
                        <w:sz w:val="36"/>
                        <w:szCs w:val="36"/>
                        <w:shd w:val="clear" w:color="auto" w:fill="auto"/>
                        <w:lang w:val="ru-RU" w:eastAsia="ru-RU" w:bidi="ru-RU"/>
                      </w:rPr>
                      <w:t>I</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3902710</wp:posOffset>
              </wp:positionH>
              <wp:positionV relativeFrom="page">
                <wp:posOffset>671830</wp:posOffset>
              </wp:positionV>
              <wp:extent cx="133985" cy="109855"/>
              <wp:wrapNone/>
              <wp:docPr id="5" name="Shape 5"/>
              <a:graphic xmlns:a="http://schemas.openxmlformats.org/drawingml/2006/main">
                <a:graphicData uri="http://schemas.microsoft.com/office/word/2010/wordprocessingShape">
                  <wps:wsp>
                    <wps:cNvSpPr txBox="1"/>
                    <wps:spPr>
                      <a:xfrm>
                        <a:ext cx="13398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7.30000000000001pt;margin-top:52.899999999999999pt;width:10.550000000000001pt;height:8.6500000000000004pt;z-index:-188744062;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3902710</wp:posOffset>
              </wp:positionH>
              <wp:positionV relativeFrom="page">
                <wp:posOffset>671830</wp:posOffset>
              </wp:positionV>
              <wp:extent cx="133985" cy="109855"/>
              <wp:wrapNone/>
              <wp:docPr id="9" name="Shape 9"/>
              <a:graphic xmlns:a="http://schemas.openxmlformats.org/drawingml/2006/main">
                <a:graphicData uri="http://schemas.microsoft.com/office/word/2010/wordprocessingShape">
                  <wps:wsp>
                    <wps:cNvSpPr txBox="1"/>
                    <wps:spPr>
                      <a:xfrm>
                        <a:ext cx="13398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7.30000000000001pt;margin-top:52.899999999999999pt;width:10.550000000000001pt;height:8.6500000000000004pt;z-index:-188744058;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3902710</wp:posOffset>
              </wp:positionH>
              <wp:positionV relativeFrom="page">
                <wp:posOffset>671830</wp:posOffset>
              </wp:positionV>
              <wp:extent cx="133985" cy="109855"/>
              <wp:wrapNone/>
              <wp:docPr id="13" name="Shape 13"/>
              <a:graphic xmlns:a="http://schemas.openxmlformats.org/drawingml/2006/main">
                <a:graphicData uri="http://schemas.microsoft.com/office/word/2010/wordprocessingShape">
                  <wps:wsp>
                    <wps:cNvSpPr txBox="1"/>
                    <wps:spPr>
                      <a:xfrm>
                        <a:ext cx="13398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7.30000000000001pt;margin-top:52.899999999999999pt;width:10.550000000000001pt;height:8.6500000000000004pt;z-index:-188744054;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3902710</wp:posOffset>
              </wp:positionH>
              <wp:positionV relativeFrom="page">
                <wp:posOffset>671830</wp:posOffset>
              </wp:positionV>
              <wp:extent cx="133985" cy="109855"/>
              <wp:wrapNone/>
              <wp:docPr id="17" name="Shape 17"/>
              <a:graphic xmlns:a="http://schemas.openxmlformats.org/drawingml/2006/main">
                <a:graphicData uri="http://schemas.microsoft.com/office/word/2010/wordprocessingShape">
                  <wps:wsp>
                    <wps:cNvSpPr txBox="1"/>
                    <wps:spPr>
                      <a:xfrm>
                        <a:ext cx="13398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7.30000000000001pt;margin-top:52.899999999999999pt;width:10.550000000000001pt;height:8.6500000000000004pt;z-index:-188744050;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3718560</wp:posOffset>
              </wp:positionH>
              <wp:positionV relativeFrom="page">
                <wp:posOffset>652145</wp:posOffset>
              </wp:positionV>
              <wp:extent cx="554990" cy="146050"/>
              <wp:wrapNone/>
              <wp:docPr id="21" name="Shape 21"/>
              <a:graphic xmlns:a="http://schemas.openxmlformats.org/drawingml/2006/main">
                <a:graphicData uri="http://schemas.microsoft.com/office/word/2010/wordprocessingShape">
                  <wps:wsp>
                    <wps:cNvSpPr txBox="1"/>
                    <wps:spPr>
                      <a:xfrm>
                        <a:ext cx="554990" cy="14605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 xml:space="preserve">' </w:t>
                          </w:r>
                          <w:fldSimple w:instr=" PAGE \* MERGEFORMAT ">
                            <w:r>
                              <w:rPr>
                                <w:color w:val="000000"/>
                                <w:spacing w:val="0"/>
                                <w:w w:val="100"/>
                                <w:position w:val="0"/>
                                <w:sz w:val="24"/>
                                <w:szCs w:val="24"/>
                                <w:shd w:val="clear" w:color="auto" w:fill="auto"/>
                                <w:lang w:val="ru-RU" w:eastAsia="ru-RU" w:bidi="ru-RU"/>
                              </w:rPr>
                              <w:t>#</w:t>
                            </w:r>
                          </w:fldSimple>
                          <w:r>
                            <w:rPr>
                              <w:color w:val="000000"/>
                              <w:spacing w:val="0"/>
                              <w:w w:val="100"/>
                              <w:position w:val="0"/>
                              <w:sz w:val="24"/>
                              <w:szCs w:val="24"/>
                              <w:shd w:val="clear" w:color="auto" w:fill="auto"/>
                              <w:lang w:val="ru-RU" w:eastAsia="ru-RU" w:bidi="ru-RU"/>
                            </w:rPr>
                            <w:t xml:space="preserve"> ' ■'</w:t>
                          </w:r>
                        </w:p>
                      </w:txbxContent>
                    </wps:txbx>
                    <wps:bodyPr wrap="none" lIns="0" tIns="0" rIns="0" bIns="0">
                      <a:spAutoFit/>
                    </wps:bodyPr>
                  </wps:wsp>
                </a:graphicData>
              </a:graphic>
            </wp:anchor>
          </w:drawing>
        </mc:Choice>
        <mc:Fallback>
          <w:pict>
            <v:shape id="_x0000_s1047" type="#_x0000_t202" style="position:absolute;margin-left:292.80000000000001pt;margin-top:51.350000000000001pt;width:43.700000000000003pt;height:11.5pt;z-index:-188744046;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 xml:space="preserve">' </w:t>
                    </w:r>
                    <w:fldSimple w:instr=" PAGE \* MERGEFORMAT ">
                      <w:r>
                        <w:rPr>
                          <w:color w:val="000000"/>
                          <w:spacing w:val="0"/>
                          <w:w w:val="100"/>
                          <w:position w:val="0"/>
                          <w:sz w:val="24"/>
                          <w:szCs w:val="24"/>
                          <w:shd w:val="clear" w:color="auto" w:fill="auto"/>
                          <w:lang w:val="ru-RU" w:eastAsia="ru-RU" w:bidi="ru-RU"/>
                        </w:rPr>
                        <w:t>#</w:t>
                      </w:r>
                    </w:fldSimple>
                    <w:r>
                      <w:rPr>
                        <w:color w:val="000000"/>
                        <w:spacing w:val="0"/>
                        <w:w w:val="100"/>
                        <w:position w:val="0"/>
                        <w:sz w:val="24"/>
                        <w:szCs w:val="24"/>
                        <w:shd w:val="clear" w:color="auto" w:fill="auto"/>
                        <w:lang w:val="ru-RU" w:eastAsia="ru-RU" w:bidi="ru-RU"/>
                      </w:rPr>
                      <w:t xml:space="preserve"> ' ■'</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1" behindDoc="1" locked="0" layoutInCell="1" allowOverlap="1">
              <wp:simplePos x="0" y="0"/>
              <wp:positionH relativeFrom="page">
                <wp:posOffset>3902710</wp:posOffset>
              </wp:positionH>
              <wp:positionV relativeFrom="page">
                <wp:posOffset>671830</wp:posOffset>
              </wp:positionV>
              <wp:extent cx="133985" cy="109855"/>
              <wp:wrapNone/>
              <wp:docPr id="25" name="Shape 25"/>
              <a:graphic xmlns:a="http://schemas.openxmlformats.org/drawingml/2006/main">
                <a:graphicData uri="http://schemas.microsoft.com/office/word/2010/wordprocessingShape">
                  <wps:wsp>
                    <wps:cNvSpPr txBox="1"/>
                    <wps:spPr>
                      <a:xfrm>
                        <a:ext cx="13398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307.30000000000001pt;margin-top:52.899999999999999pt;width:10.550000000000001pt;height:8.6500000000000004pt;z-index:-188744042;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5" behindDoc="1" locked="0" layoutInCell="1" allowOverlap="1">
              <wp:simplePos x="0" y="0"/>
              <wp:positionH relativeFrom="page">
                <wp:posOffset>3902710</wp:posOffset>
              </wp:positionH>
              <wp:positionV relativeFrom="page">
                <wp:posOffset>671830</wp:posOffset>
              </wp:positionV>
              <wp:extent cx="133985" cy="109855"/>
              <wp:wrapNone/>
              <wp:docPr id="29" name="Shape 29"/>
              <a:graphic xmlns:a="http://schemas.openxmlformats.org/drawingml/2006/main">
                <a:graphicData uri="http://schemas.microsoft.com/office/word/2010/wordprocessingShape">
                  <wps:wsp>
                    <wps:cNvSpPr txBox="1"/>
                    <wps:spPr>
                      <a:xfrm>
                        <a:ext cx="13398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5" type="#_x0000_t202" style="position:absolute;margin-left:307.30000000000001pt;margin-top:52.899999999999999pt;width:10.550000000000001pt;height:8.6500000000000004pt;z-index:-188744038;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1" behindDoc="1" locked="0" layoutInCell="1" allowOverlap="1">
              <wp:simplePos x="0" y="0"/>
              <wp:positionH relativeFrom="page">
                <wp:posOffset>3902710</wp:posOffset>
              </wp:positionH>
              <wp:positionV relativeFrom="page">
                <wp:posOffset>671830</wp:posOffset>
              </wp:positionV>
              <wp:extent cx="133985" cy="109855"/>
              <wp:wrapNone/>
              <wp:docPr id="35" name="Shape 35"/>
              <a:graphic xmlns:a="http://schemas.openxmlformats.org/drawingml/2006/main">
                <a:graphicData uri="http://schemas.microsoft.com/office/word/2010/wordprocessingShape">
                  <wps:wsp>
                    <wps:cNvSpPr txBox="1"/>
                    <wps:spPr>
                      <a:xfrm>
                        <a:ext cx="13398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61" type="#_x0000_t202" style="position:absolute;margin-left:307.30000000000001pt;margin-top:52.899999999999999pt;width:10.550000000000001pt;height:8.6500000000000004pt;z-index:-188744032;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5" behindDoc="1" locked="0" layoutInCell="1" allowOverlap="1">
              <wp:simplePos x="0" y="0"/>
              <wp:positionH relativeFrom="page">
                <wp:posOffset>3902710</wp:posOffset>
              </wp:positionH>
              <wp:positionV relativeFrom="page">
                <wp:posOffset>671830</wp:posOffset>
              </wp:positionV>
              <wp:extent cx="133985" cy="109855"/>
              <wp:wrapNone/>
              <wp:docPr id="39" name="Shape 39"/>
              <a:graphic xmlns:a="http://schemas.openxmlformats.org/drawingml/2006/main">
                <a:graphicData uri="http://schemas.microsoft.com/office/word/2010/wordprocessingShape">
                  <wps:wsp>
                    <wps:cNvSpPr txBox="1"/>
                    <wps:spPr>
                      <a:xfrm>
                        <a:ext cx="13398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65" type="#_x0000_t202" style="position:absolute;margin-left:307.30000000000001pt;margin-top:52.899999999999999pt;width:10.550000000000001pt;height:8.6500000000000004pt;z-index:-188744028;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4" behindDoc="1" locked="0" layoutInCell="1" allowOverlap="1">
              <wp:simplePos x="0" y="0"/>
              <wp:positionH relativeFrom="page">
                <wp:posOffset>3902710</wp:posOffset>
              </wp:positionH>
              <wp:positionV relativeFrom="page">
                <wp:posOffset>671830</wp:posOffset>
              </wp:positionV>
              <wp:extent cx="133985" cy="109855"/>
              <wp:wrapNone/>
              <wp:docPr id="49" name="Shape 49"/>
              <a:graphic xmlns:a="http://schemas.openxmlformats.org/drawingml/2006/main">
                <a:graphicData uri="http://schemas.microsoft.com/office/word/2010/wordprocessingShape">
                  <wps:wsp>
                    <wps:cNvSpPr txBox="1"/>
                    <wps:spPr>
                      <a:xfrm>
                        <a:ext cx="13398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75" type="#_x0000_t202" style="position:absolute;margin-left:307.30000000000001pt;margin-top:52.899999999999999pt;width:10.550000000000001pt;height:8.6500000000000004pt;z-index:-188744019;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8" behindDoc="1" locked="0" layoutInCell="1" allowOverlap="1">
              <wp:simplePos x="0" y="0"/>
              <wp:positionH relativeFrom="page">
                <wp:posOffset>3887470</wp:posOffset>
              </wp:positionH>
              <wp:positionV relativeFrom="page">
                <wp:posOffset>711835</wp:posOffset>
              </wp:positionV>
              <wp:extent cx="133985" cy="109855"/>
              <wp:wrapNone/>
              <wp:docPr id="53" name="Shape 53"/>
              <a:graphic xmlns:a="http://schemas.openxmlformats.org/drawingml/2006/main">
                <a:graphicData uri="http://schemas.microsoft.com/office/word/2010/wordprocessingShape">
                  <wps:wsp>
                    <wps:cNvSpPr txBox="1"/>
                    <wps:spPr>
                      <a:xfrm>
                        <a:ext cx="13398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79" type="#_x0000_t202" style="position:absolute;margin-left:306.10000000000002pt;margin-top:56.050000000000004pt;width:10.550000000000001pt;height:8.6500000000000004pt;z-index:-188744015;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6">
    <w:multiLevelType w:val="multilevel"/>
    <w:lvl w:ilvl="0">
      <w:start w:val="7"/>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2">
    <w:multiLevelType w:val="multilevel"/>
    <w:lvl w:ilvl="0">
      <w:start w:val="2"/>
      <w:numFmt w:val="upperRoman"/>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5)_"/>
    <w:basedOn w:val="DefaultParagraphFont"/>
    <w:link w:val="Style2"/>
    <w:rPr>
      <w:rFonts w:ascii="Times New Roman" w:eastAsia="Times New Roman" w:hAnsi="Times New Roman" w:cs="Times New Roman"/>
      <w:b w:val="0"/>
      <w:bCs w:val="0"/>
      <w:i w:val="0"/>
      <w:iCs w:val="0"/>
      <w:smallCaps w:val="0"/>
      <w:strike w:val="0"/>
      <w:sz w:val="18"/>
      <w:szCs w:val="18"/>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iCs/>
      <w:smallCaps w:val="0"/>
      <w:strike w:val="0"/>
      <w:sz w:val="19"/>
      <w:szCs w:val="19"/>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sz w:val="16"/>
      <w:szCs w:val="16"/>
      <w:u w:val="none"/>
    </w:rPr>
  </w:style>
  <w:style w:type="character" w:customStyle="1" w:styleId="CharStyle10">
    <w:name w:val="Основной текст (6)_"/>
    <w:basedOn w:val="DefaultParagraphFont"/>
    <w:link w:val="Style9"/>
    <w:rPr>
      <w:rFonts w:ascii="Arial" w:eastAsia="Arial" w:hAnsi="Arial" w:cs="Arial"/>
      <w:b w:val="0"/>
      <w:bCs w:val="0"/>
      <w:i w:val="0"/>
      <w:iCs w:val="0"/>
      <w:smallCaps w:val="0"/>
      <w:strike w:val="0"/>
      <w:w w:val="60"/>
      <w:sz w:val="26"/>
      <w:szCs w:val="26"/>
      <w:u w:val="single"/>
    </w:rPr>
  </w:style>
  <w:style w:type="character" w:customStyle="1" w:styleId="CharStyle13">
    <w:name w:val="Основной текст (2)_"/>
    <w:basedOn w:val="DefaultParagraphFont"/>
    <w:link w:val="Style12"/>
    <w:rPr>
      <w:rFonts w:ascii="Times New Roman" w:eastAsia="Times New Roman" w:hAnsi="Times New Roman" w:cs="Times New Roman"/>
      <w:b w:val="0"/>
      <w:bCs w:val="0"/>
      <w:i/>
      <w:iCs/>
      <w:smallCaps w:val="0"/>
      <w:strike w:val="0"/>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54"/>
      <w:szCs w:val="54"/>
      <w:u w:val="none"/>
    </w:rPr>
  </w:style>
  <w:style w:type="character" w:customStyle="1" w:styleId="CharStyle21">
    <w:name w:val="Колонтитул (2)_"/>
    <w:basedOn w:val="DefaultParagraphFont"/>
    <w:link w:val="Style20"/>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5)"/>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18"/>
      <w:szCs w:val="18"/>
      <w:u w:val="none"/>
    </w:rPr>
  </w:style>
  <w:style w:type="paragraph" w:customStyle="1" w:styleId="Style4">
    <w:name w:val="Основной текст (3)"/>
    <w:basedOn w:val="Normal"/>
    <w:link w:val="CharStyle5"/>
    <w:pPr>
      <w:widowControl w:val="0"/>
      <w:shd w:val="clear" w:color="auto" w:fill="auto"/>
      <w:spacing w:after="210" w:line="274" w:lineRule="auto"/>
      <w:ind w:firstLine="290"/>
      <w:jc w:val="center"/>
    </w:pPr>
    <w:rPr>
      <w:rFonts w:ascii="Times New Roman" w:eastAsia="Times New Roman" w:hAnsi="Times New Roman" w:cs="Times New Roman"/>
      <w:b w:val="0"/>
      <w:bCs w:val="0"/>
      <w:i/>
      <w:iCs/>
      <w:smallCaps w:val="0"/>
      <w:strike w:val="0"/>
      <w:sz w:val="19"/>
      <w:szCs w:val="19"/>
      <w:u w:val="none"/>
    </w:rPr>
  </w:style>
  <w:style w:type="paragraph" w:customStyle="1" w:styleId="Style7">
    <w:name w:val="Основной текст (4)"/>
    <w:basedOn w:val="Normal"/>
    <w:link w:val="CharStyle8"/>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sz w:val="16"/>
      <w:szCs w:val="16"/>
      <w:u w:val="none"/>
    </w:rPr>
  </w:style>
  <w:style w:type="paragraph" w:customStyle="1" w:styleId="Style9">
    <w:name w:val="Основной текст (6)"/>
    <w:basedOn w:val="Normal"/>
    <w:link w:val="CharStyle10"/>
    <w:pPr>
      <w:widowControl w:val="0"/>
      <w:shd w:val="clear" w:color="auto" w:fill="auto"/>
    </w:pPr>
    <w:rPr>
      <w:rFonts w:ascii="Arial" w:eastAsia="Arial" w:hAnsi="Arial" w:cs="Arial"/>
      <w:b w:val="0"/>
      <w:bCs w:val="0"/>
      <w:i w:val="0"/>
      <w:iCs w:val="0"/>
      <w:smallCaps w:val="0"/>
      <w:strike w:val="0"/>
      <w:w w:val="60"/>
      <w:sz w:val="26"/>
      <w:szCs w:val="26"/>
      <w:u w:val="single"/>
    </w:rPr>
  </w:style>
  <w:style w:type="paragraph" w:customStyle="1" w:styleId="Style12">
    <w:name w:val="Основной текст (2)"/>
    <w:basedOn w:val="Normal"/>
    <w:link w:val="CharStyle13"/>
    <w:pPr>
      <w:widowControl w:val="0"/>
      <w:shd w:val="clear" w:color="auto" w:fill="auto"/>
      <w:spacing w:line="276" w:lineRule="auto"/>
      <w:ind w:firstLine="20"/>
    </w:pPr>
    <w:rPr>
      <w:rFonts w:ascii="Times New Roman" w:eastAsia="Times New Roman" w:hAnsi="Times New Roman" w:cs="Times New Roman"/>
      <w:b w:val="0"/>
      <w:bCs w:val="0"/>
      <w:i/>
      <w:iCs/>
      <w:smallCaps w:val="0"/>
      <w:strike w:val="0"/>
      <w:u w:val="none"/>
    </w:rPr>
  </w:style>
  <w:style w:type="paragraph" w:customStyle="1" w:styleId="Style15">
    <w:name w:val="Основной текст"/>
    <w:basedOn w:val="Normal"/>
    <w:link w:val="CharStyle16"/>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Заголовок №1"/>
    <w:basedOn w:val="Normal"/>
    <w:link w:val="CharStyle19"/>
    <w:pPr>
      <w:widowControl w:val="0"/>
      <w:shd w:val="clear" w:color="auto" w:fill="auto"/>
      <w:outlineLvl w:val="0"/>
    </w:pPr>
    <w:rPr>
      <w:rFonts w:ascii="Arial" w:eastAsia="Arial" w:hAnsi="Arial" w:cs="Arial"/>
      <w:b w:val="0"/>
      <w:bCs w:val="0"/>
      <w:i w:val="0"/>
      <w:iCs w:val="0"/>
      <w:smallCaps w:val="0"/>
      <w:strike w:val="0"/>
      <w:sz w:val="54"/>
      <w:szCs w:val="54"/>
      <w:u w:val="none"/>
    </w:rPr>
  </w:style>
  <w:style w:type="paragraph" w:customStyle="1" w:styleId="Style20">
    <w:name w:val="Колонтитул (2)"/>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header" Target="header8.xml"/><Relationship Id="rId22" Type="http://schemas.openxmlformats.org/officeDocument/2006/relationships/footer" Target="footer8.xml"/><Relationship Id="rId23" Type="http://schemas.openxmlformats.org/officeDocument/2006/relationships/header" Target="header9.xml"/><Relationship Id="rId24" Type="http://schemas.openxmlformats.org/officeDocument/2006/relationships/footer" Target="footer9.xml"/><Relationship Id="rId25" Type="http://schemas.openxmlformats.org/officeDocument/2006/relationships/header" Target="header10.xml"/><Relationship Id="rId26" Type="http://schemas.openxmlformats.org/officeDocument/2006/relationships/footer" Target="footer10.xml"/><Relationship Id="rId27" Type="http://schemas.openxmlformats.org/officeDocument/2006/relationships/header" Target="header11.xml"/><Relationship Id="rId28" Type="http://schemas.openxmlformats.org/officeDocument/2006/relationships/footer" Target="footer11.xml"/><Relationship Id="rId29" Type="http://schemas.openxmlformats.org/officeDocument/2006/relationships/image" Target="media/image2.png"/><Relationship Id="rId30" Type="http://schemas.openxmlformats.org/officeDocument/2006/relationships/image" Target="media/image2.png" TargetMode="External"/><Relationship Id="rId31" Type="http://schemas.openxmlformats.org/officeDocument/2006/relationships/header" Target="header12.xml"/><Relationship Id="rId32" Type="http://schemas.openxmlformats.org/officeDocument/2006/relationships/footer" Target="footer12.xml"/><Relationship Id="rId33" Type="http://schemas.openxmlformats.org/officeDocument/2006/relationships/header" Target="header13.xml"/><Relationship Id="rId34" Type="http://schemas.openxmlformats.org/officeDocument/2006/relationships/footer" Target="footer13.xml"/><Relationship Id="rId35" Type="http://schemas.openxmlformats.org/officeDocument/2006/relationships/header" Target="header14.xml"/><Relationship Id="rId36" Type="http://schemas.openxmlformats.org/officeDocument/2006/relationships/footer" Target="footer14.xml"/></Relationships>
</file>