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widowControl w:val="0"/>
        <w:rPr>
          <w:sz w:val="2"/>
          <w:szCs w:val="2"/>
        </w:rPr>
      </w:pPr>
    </w:p>
    <w:p>
      <w:pPr>
        <w:widowControl w:val="0"/>
        <w:rPr>
          <w:sz w:val="2"/>
          <w:szCs w:val="2"/>
        </w:rPr>
        <w:sectPr>
          <w:headerReference w:type="default" r:id="rId7"/>
          <w:footerReference w:type="default" r:id="rId8"/>
          <w:footerReference w:type="first" r:id="rId9"/>
          <w:titlePg/>
          <w:footnotePr>
            <w:pos w:val="pageBottom"/>
            <w:numFmt w:val="decimal"/>
            <w:numRestart w:val="continuous"/>
          </w:footnotePr>
          <w:type w:val="continuous"/>
          <w:pgSz w:w="11909" w:h="16838"/>
          <w:pgMar w:top="91" w:left="2325" w:right="8959" w:bottom="341" w:header="0" w:footer="3" w:gutter="0"/>
          <w:rtlGutter w:val="0"/>
          <w:cols w:space="720"/>
          <w:noEndnote/>
          <w:docGrid w:linePitch="360"/>
        </w:sectPr>
      </w:pPr>
    </w:p>
    <w:p>
      <w:pPr>
        <w:widowControl w:val="0"/>
        <w:spacing w:line="135" w:lineRule="exact"/>
        <w:rPr>
          <w:sz w:val="11"/>
          <w:szCs w:val="11"/>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164"/>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250" w:line="180" w:lineRule="exact"/>
        <w:ind w:left="0" w:right="0" w:firstLine="0"/>
      </w:pPr>
      <w:r>
        <w:rPr>
          <w:rStyle w:val="CharStyle8"/>
          <w:b/>
          <w:bCs/>
        </w:rPr>
        <w:t>УПРАВЛЕ</w:t>
      </w:r>
      <w:r>
        <w:rPr>
          <w:rStyle w:val="CharStyle9"/>
          <w:b/>
          <w:bCs/>
        </w:rPr>
        <w:t>НИЕ</w:t>
      </w:r>
    </w:p>
    <w:p>
      <w:pPr>
        <w:pStyle w:val="Style6"/>
        <w:widowControl w:val="0"/>
        <w:keepNext w:val="0"/>
        <w:keepLines w:val="0"/>
        <w:shd w:val="clear" w:color="auto" w:fill="auto"/>
        <w:bidi w:val="0"/>
        <w:spacing w:before="0" w:after="0" w:line="180" w:lineRule="exact"/>
        <w:ind w:left="0" w:right="0" w:firstLine="0"/>
      </w:pPr>
      <w:r>
        <w:rPr>
          <w:rStyle w:val="CharStyle8"/>
          <w:b/>
          <w:bCs/>
        </w:rPr>
        <w:t>по г. Москве</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«Полимер-Рус»</w:t>
      </w:r>
    </w:p>
    <w:p>
      <w:pPr>
        <w:pStyle w:val="Style10"/>
        <w:widowControl w:val="0"/>
        <w:keepNext w:val="0"/>
        <w:keepLines w:val="0"/>
        <w:shd w:val="clear" w:color="auto" w:fill="auto"/>
        <w:bidi w:val="0"/>
        <w:jc w:val="left"/>
        <w:spacing w:before="0" w:after="0"/>
        <w:ind w:left="20" w:right="0" w:firstLine="0"/>
        <w:sectPr>
          <w:type w:val="continuous"/>
          <w:pgSz w:w="11909" w:h="16838"/>
          <w:pgMar w:top="121" w:left="1053" w:right="1197" w:bottom="371" w:header="0" w:footer="3" w:gutter="0"/>
          <w:rtlGutter w:val="0"/>
          <w:cols w:num="2" w:space="720" w:equalWidth="0">
            <w:col w:w="3173" w:space="1440"/>
            <w:col w:w="5045"/>
          </w:cols>
          <w:noEndnote/>
          <w:docGrid w:linePitch="360"/>
        </w:sectPr>
      </w:pPr>
      <w:r>
        <w:rPr>
          <w:lang w:val="ru-RU" w:eastAsia="ru-RU" w:bidi="ru-RU"/>
          <w:w w:val="100"/>
          <w:spacing w:val="0"/>
          <w:color w:val="000000"/>
          <w:position w:val="0"/>
        </w:rPr>
        <w:t xml:space="preserve">125080, г. Москва, ш. Волоколамское, д. 1, стр. 1, эт., 5 п. VI к. 31 оф. 18А </w:t>
      </w:r>
      <w:r>
        <w:rPr>
          <w:lang w:val="en-US" w:eastAsia="en-US" w:bidi="en-US"/>
          <w:w w:val="100"/>
          <w:spacing w:val="0"/>
          <w:color w:val="000000"/>
          <w:position w:val="0"/>
        </w:rPr>
        <w:t>ruspolim 123@gmail .com</w:t>
      </w:r>
    </w:p>
    <w:p>
      <w:pPr>
        <w:widowControl w:val="0"/>
        <w:spacing w:line="232"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149"/>
        <w:ind w:left="0" w:right="0" w:firstLine="0"/>
      </w:pPr>
      <w:r>
        <w:rPr>
          <w:rStyle w:val="CharStyle14"/>
        </w:rPr>
        <w:t>Мясницкий проезд, д.4, стр. 1 1</w:t>
      </w:r>
      <w:r>
        <w:rPr>
          <w:rStyle w:val="CharStyle15"/>
        </w:rPr>
        <w:t xml:space="preserve">07078, </w:t>
      </w:r>
      <w:r>
        <w:rPr>
          <w:rStyle w:val="CharStyle14"/>
        </w:rPr>
        <w:t xml:space="preserve">г. Москва, тел. </w:t>
      </w:r>
      <w:r>
        <w:rPr>
          <w:rStyle w:val="CharStyle15"/>
        </w:rPr>
        <w:t xml:space="preserve">(495) 784-75-05, </w:t>
      </w:r>
      <w:r>
        <w:rPr>
          <w:rStyle w:val="CharStyle14"/>
        </w:rPr>
        <w:t xml:space="preserve">факс </w:t>
      </w:r>
      <w:r>
        <w:rPr>
          <w:rStyle w:val="CharStyle15"/>
        </w:rPr>
        <w:t xml:space="preserve">(495) 607-49-29 </w:t>
      </w:r>
      <w:r>
        <w:rPr>
          <w:rStyle w:val="CharStyle14"/>
        </w:rPr>
        <w:t xml:space="preserve">факс </w:t>
      </w:r>
      <w:r>
        <w:rPr>
          <w:rStyle w:val="CharStyle15"/>
        </w:rPr>
        <w:t xml:space="preserve">(495) 607-42-92, </w:t>
      </w:r>
      <w:r>
        <w:rPr>
          <w:rStyle w:val="CharStyle16"/>
        </w:rPr>
        <w:t xml:space="preserve">e-mail: </w:t>
      </w:r>
      <w:r>
        <w:fldChar w:fldCharType="begin"/>
      </w:r>
      <w:r>
        <w:rPr>
          <w:rStyle w:val="CharStyle17"/>
        </w:rPr>
        <w:instrText> HYPERLINK "mailto:to77@fas.gov.iTi" </w:instrText>
      </w:r>
      <w:r>
        <w:fldChar w:fldCharType="separate"/>
      </w:r>
      <w:r>
        <w:rPr>
          <w:rStyle w:val="Hyperlink"/>
        </w:rPr>
        <w:t>to77@fas.gov.iTi</w:t>
      </w:r>
      <w:r>
        <w:fldChar w:fldCharType="end"/>
      </w:r>
    </w:p>
    <w:p>
      <w:pPr>
        <w:pStyle w:val="Style18"/>
        <w:tabs>
          <w:tab w:leader="none" w:pos="2508" w:val="right"/>
          <w:tab w:leader="none" w:pos="3900" w:val="right"/>
        </w:tabs>
        <w:widowControl w:val="0"/>
        <w:keepNext/>
        <w:keepLines/>
        <w:shd w:val="clear" w:color="auto" w:fill="auto"/>
        <w:bidi w:val="0"/>
        <w:spacing w:before="0" w:after="0" w:line="260" w:lineRule="exact"/>
        <w:ind w:left="420" w:right="0" w:firstLine="0"/>
      </w:pPr>
      <w:bookmarkStart w:id="0" w:name="bookmark0"/>
      <w:r>
        <w:rPr>
          <w:lang w:val="ru-RU" w:eastAsia="ru-RU" w:bidi="ru-RU"/>
          <w:w w:val="100"/>
          <w:color w:val="000000"/>
          <w:position w:val="0"/>
        </w:rPr>
        <w:t>1</w:t>
      </w:r>
      <w:r>
        <w:fldChar w:fldCharType="begin"/>
      </w:r>
      <w:r>
        <w:rPr>
          <w:color w:val="000000"/>
        </w:rPr>
        <w:instrText> HYPERLINK "file://f207ca94-a13c-4ba0-b72d-f018c9eed8f1/" </w:instrText>
      </w:r>
      <w:r>
        <w:fldChar w:fldCharType="separate"/>
      </w:r>
      <w:r>
        <w:rPr>
          <w:rStyle w:val="Hyperlink"/>
          <w:lang w:val="ru-RU" w:eastAsia="ru-RU" w:bidi="ru-RU"/>
          <w:w w:val="100"/>
          <w:position w:val="0"/>
        </w:rPr>
        <w:t>6</w:t>
      </w:r>
      <w:r>
        <w:rPr>
          <w:rStyle w:val="Hyperlink"/>
        </w:rPr>
        <w:t>.</w:t>
      </w:r>
      <w:r>
        <w:rPr>
          <w:rStyle w:val="Hyperlink"/>
          <w:lang w:val="ru-RU" w:eastAsia="ru-RU" w:bidi="ru-RU"/>
          <w:w w:val="100"/>
          <w:position w:val="0"/>
        </w:rPr>
        <w:t>02.2023</w:t>
      </w:r>
      <w:r>
        <w:rPr>
          <w:rStyle w:val="Hyperlink"/>
        </w:rPr>
        <w:tab/>
      </w:r>
      <w:r>
        <w:fldChar w:fldCharType="end"/>
      </w:r>
      <w:r>
        <w:rPr>
          <w:rStyle w:val="CharStyle20"/>
        </w:rPr>
        <w:t>№</w:t>
        <w:tab/>
      </w:r>
      <w:r>
        <w:rPr>
          <w:lang w:val="ru-RU" w:eastAsia="ru-RU" w:bidi="ru-RU"/>
          <w:w w:val="100"/>
          <w:color w:val="000000"/>
          <w:position w:val="0"/>
        </w:rPr>
        <w:t>7336/23</w:t>
      </w:r>
      <w:bookmarkEnd w:id="0"/>
    </w:p>
    <w:p>
      <w:pPr>
        <w:pStyle w:val="Style10"/>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ГУП «М.Прогресс»</w:t>
      </w:r>
    </w:p>
    <w:p>
      <w:pPr>
        <w:pStyle w:val="Style10"/>
        <w:widowControl w:val="0"/>
        <w:keepNext w:val="0"/>
        <w:keepLines w:val="0"/>
        <w:shd w:val="clear" w:color="auto" w:fill="auto"/>
        <w:bidi w:val="0"/>
        <w:jc w:val="left"/>
        <w:spacing w:before="0" w:after="0" w:line="322" w:lineRule="exact"/>
        <w:ind w:left="20" w:right="0" w:firstLine="0"/>
        <w:sectPr>
          <w:type w:val="continuous"/>
          <w:pgSz w:w="11909" w:h="16838"/>
          <w:pgMar w:top="121" w:left="784" w:right="1038" w:bottom="371" w:header="0" w:footer="3" w:gutter="0"/>
          <w:rtlGutter w:val="0"/>
          <w:cols w:num="2" w:space="720" w:equalWidth="0">
            <w:col w:w="3907" w:space="974"/>
            <w:col w:w="5203"/>
          </w:cols>
          <w:noEndnote/>
          <w:docGrid w:linePitch="360"/>
        </w:sectPr>
      </w:pPr>
      <w:r>
        <w:rPr>
          <w:lang w:val="ru-RU" w:eastAsia="ru-RU" w:bidi="ru-RU"/>
          <w:w w:val="100"/>
          <w:spacing w:val="0"/>
          <w:color w:val="000000"/>
          <w:position w:val="0"/>
        </w:rPr>
        <w:t xml:space="preserve">107061, город Москва, ул. Преображенский Вал, д. 17, стр. 3 </w:t>
      </w:r>
      <w:r>
        <w:fldChar w:fldCharType="begin"/>
      </w:r>
      <w:r>
        <w:rPr>
          <w:color w:val="000000"/>
        </w:rPr>
        <w:instrText> HYPERLINK "mailto:zakupki@gup-mprogress.ru" </w:instrText>
      </w:r>
      <w:r>
        <w:fldChar w:fldCharType="separate"/>
      </w:r>
      <w:r>
        <w:rPr>
          <w:rStyle w:val="Hyperlink"/>
          <w:lang w:val="en-US" w:eastAsia="en-US" w:bidi="en-US"/>
          <w:w w:val="100"/>
          <w:spacing w:val="0"/>
          <w:position w:val="0"/>
        </w:rPr>
        <w:t>zakupki@gup-mprogress.ru</w:t>
      </w:r>
      <w:r>
        <w:fldChar w:fldCharType="end"/>
      </w:r>
    </w:p>
    <w:p>
      <w:pPr>
        <w:widowControl w:val="0"/>
        <w:spacing w:before="61" w:after="6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1"/>
        <w:framePr w:h="170" w:wrap="around" w:hAnchor="margin" w:x="-5073" w:y="4349"/>
        <w:widowControl w:val="0"/>
        <w:keepNext w:val="0"/>
        <w:keepLines w:val="0"/>
        <w:shd w:val="clear" w:color="auto" w:fill="auto"/>
        <w:bidi w:val="0"/>
        <w:jc w:val="left"/>
        <w:spacing w:before="0" w:after="0" w:line="170" w:lineRule="exact"/>
        <w:ind w:left="0" w:right="0" w:firstLine="0"/>
      </w:pPr>
      <w:r>
        <w:rPr>
          <w:rStyle w:val="CharStyle23"/>
          <w:spacing w:val="0"/>
        </w:rPr>
        <w:t>На№</w:t>
      </w:r>
    </w:p>
    <w:p>
      <w:pPr>
        <w:pStyle w:val="Style10"/>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АО «ЕЭТП»</w:t>
      </w:r>
    </w:p>
    <w:p>
      <w:pPr>
        <w:pStyle w:val="Style24"/>
        <w:framePr w:h="340" w:wrap="around" w:vAnchor="text" w:hAnchor="margin" w:x="-5082" w:y="338"/>
        <w:widowControl w:val="0"/>
        <w:keepNext w:val="0"/>
        <w:keepLines w:val="0"/>
        <w:shd w:val="clear" w:color="auto" w:fill="auto"/>
        <w:bidi w:val="0"/>
        <w:jc w:val="left"/>
        <w:spacing w:before="0" w:after="0" w:line="340" w:lineRule="exact"/>
        <w:ind w:left="0" w:right="0" w:firstLine="0"/>
      </w:pPr>
      <w:r>
        <w:rPr>
          <w:rStyle w:val="CharStyle26"/>
        </w:rPr>
        <w:t>Г</w:t>
      </w:r>
    </w:p>
    <w:p>
      <w:pPr>
        <w:pStyle w:val="Style10"/>
        <w:widowControl w:val="0"/>
        <w:keepNext w:val="0"/>
        <w:keepLines w:val="0"/>
        <w:shd w:val="clear" w:color="auto" w:fill="auto"/>
        <w:bidi w:val="0"/>
        <w:jc w:val="left"/>
        <w:spacing w:before="0" w:after="0" w:line="331" w:lineRule="exact"/>
        <w:ind w:left="20" w:right="400" w:firstLine="0"/>
        <w:sectPr>
          <w:type w:val="continuous"/>
          <w:pgSz w:w="11909" w:h="16838"/>
          <w:pgMar w:top="121" w:left="5666" w:right="530" w:bottom="371" w:header="0" w:footer="3" w:gutter="0"/>
          <w:rtlGutter w:val="0"/>
          <w:cols w:space="720"/>
          <w:noEndnote/>
          <w:docGrid w:linePitch="360"/>
        </w:sectPr>
      </w:pPr>
      <w:r>
        <w:rPr>
          <w:lang w:val="ru-RU" w:eastAsia="ru-RU" w:bidi="ru-RU"/>
          <w:w w:val="100"/>
          <w:spacing w:val="0"/>
          <w:color w:val="000000"/>
          <w:position w:val="0"/>
        </w:rPr>
        <w:t xml:space="preserve">115114, Москва, ул Кожевническая 14, стр. 5 </w:t>
      </w: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p>
    <w:p>
      <w:pPr>
        <w:widowControl w:val="0"/>
        <w:spacing w:line="240" w:lineRule="exact"/>
        <w:rPr>
          <w:sz w:val="19"/>
          <w:szCs w:val="19"/>
        </w:rPr>
      </w:pPr>
    </w:p>
    <w:p>
      <w:pPr>
        <w:widowControl w:val="0"/>
        <w:spacing w:before="62" w:after="6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7"/>
        <w:widowControl w:val="0"/>
        <w:keepNext w:val="0"/>
        <w:keepLines w:val="0"/>
        <w:shd w:val="clear" w:color="auto" w:fill="auto"/>
        <w:bidi w:val="0"/>
        <w:spacing w:before="0" w:after="55" w:line="260" w:lineRule="exact"/>
        <w:ind w:left="0" w:right="0" w:firstLine="0"/>
      </w:pPr>
      <w:r>
        <w:rPr>
          <w:lang w:val="ru-RU" w:eastAsia="ru-RU" w:bidi="ru-RU"/>
          <w:w w:val="100"/>
          <w:spacing w:val="0"/>
          <w:color w:val="000000"/>
          <w:position w:val="0"/>
        </w:rPr>
        <w:t>РЕШЕНИЕ</w:t>
      </w:r>
    </w:p>
    <w:p>
      <w:pPr>
        <w:pStyle w:val="Style27"/>
        <w:widowControl w:val="0"/>
        <w:keepNext w:val="0"/>
        <w:keepLines w:val="0"/>
        <w:shd w:val="clear" w:color="auto" w:fill="auto"/>
        <w:bidi w:val="0"/>
        <w:spacing w:before="0" w:after="0" w:line="331" w:lineRule="exact"/>
        <w:ind w:left="0" w:right="0" w:firstLine="0"/>
        <w:sectPr>
          <w:type w:val="continuous"/>
          <w:pgSz w:w="11909" w:h="16838"/>
          <w:pgMar w:top="121" w:left="3064" w:right="2834" w:bottom="371" w:header="0" w:footer="3" w:gutter="0"/>
          <w:rtlGutter w:val="0"/>
          <w:cols w:space="720"/>
          <w:noEndnote/>
          <w:docGrid w:linePitch="360"/>
        </w:sectPr>
      </w:pPr>
      <w:r>
        <w:rPr>
          <w:lang w:val="ru-RU" w:eastAsia="ru-RU" w:bidi="ru-RU"/>
          <w:w w:val="100"/>
          <w:spacing w:val="0"/>
          <w:color w:val="000000"/>
          <w:position w:val="0"/>
        </w:rPr>
        <w:t>по делу № 077/06/106-1873/2023 о нарушении законодательства о контрактной системе</w:t>
      </w:r>
    </w:p>
    <w:p>
      <w:pPr>
        <w:widowControl w:val="0"/>
        <w:spacing w:line="39"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7"/>
        <w:framePr w:h="240" w:wrap="around" w:vAnchor="text" w:hAnchor="margin" w:x="9287" w:y="6"/>
        <w:widowControl w:val="0"/>
        <w:keepNext w:val="0"/>
        <w:keepLines w:val="0"/>
        <w:shd w:val="clear" w:color="auto" w:fill="auto"/>
        <w:bidi w:val="0"/>
        <w:jc w:val="left"/>
        <w:spacing w:before="0" w:after="0" w:line="240" w:lineRule="exact"/>
        <w:ind w:left="100" w:right="0" w:firstLine="0"/>
      </w:pPr>
      <w:r>
        <w:rPr>
          <w:rStyle w:val="CharStyle29"/>
          <w:b/>
          <w:bCs/>
          <w:spacing w:val="0"/>
        </w:rPr>
        <w:t>г. Москва</w:t>
      </w:r>
    </w:p>
    <w:p>
      <w:pPr>
        <w:pStyle w:val="Style27"/>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13.02.2023</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Председательствующего - заместителя начальника отдела обжалования государственных закупок Д.С. Грешневой,</w:t>
      </w:r>
    </w:p>
    <w:p>
      <w:pPr>
        <w:pStyle w:val="Style10"/>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Членов Комиссии:</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Специалиста первого разряда отдела обжалования государственных закупок И.И. Фурсикова,</w:t>
      </w:r>
    </w:p>
    <w:p>
      <w:pPr>
        <w:pStyle w:val="Style10"/>
        <w:tabs>
          <w:tab w:leader="none" w:pos="634"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рассмотрение жалоб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1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10"/>
        <w:tabs>
          <w:tab w:leader="none" w:pos="7987" w:val="left"/>
        </w:tabs>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при участии представителей ГУП «М.Прогресс»:</w:t>
        <w:tab/>
        <w:t>Крюкова Д.М. (по</w:t>
      </w:r>
    </w:p>
    <w:p>
      <w:pPr>
        <w:pStyle w:val="Style10"/>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доверенности №1 от 10.01.2023), Нацаева А.В. (по доверенности №20 от</w:t>
      </w:r>
    </w:p>
    <w:p>
      <w:pPr>
        <w:pStyle w:val="Style10"/>
        <w:numPr>
          <w:ilvl w:val="0"/>
          <w:numId w:val="1"/>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ООО «Полимер-Рус»: Шиловой Н.А. (по доверенности №б/н от</w:t>
      </w:r>
    </w:p>
    <w:p>
      <w:pPr>
        <w:pStyle w:val="Style10"/>
        <w:numPr>
          <w:ilvl w:val="0"/>
          <w:numId w:val="3"/>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w:t>
      </w:r>
    </w:p>
    <w:p>
      <w:pPr>
        <w:pStyle w:val="Style10"/>
        <w:widowControl w:val="0"/>
        <w:keepNext w:val="0"/>
        <w:keepLines w:val="0"/>
        <w:shd w:val="clear" w:color="auto" w:fill="auto"/>
        <w:bidi w:val="0"/>
        <w:jc w:val="both"/>
        <w:spacing w:before="0" w:after="416" w:line="322" w:lineRule="exact"/>
        <w:ind w:left="20" w:right="20" w:firstLine="700"/>
      </w:pPr>
      <w:r>
        <w:rPr>
          <w:lang w:val="ru-RU" w:eastAsia="ru-RU" w:bidi="ru-RU"/>
          <w:w w:val="100"/>
          <w:spacing w:val="0"/>
          <w:color w:val="000000"/>
          <w:position w:val="0"/>
        </w:rPr>
        <w:t>рассмотрев жалобы ООО «Полимер-Рус» (далее — Заявитель) на действия ГУП «М.Прогресс» (далее — Заказчик) при проведении электронных аукционов на право заключения государственных контрактов на оказание услуг по эксплуатационному обслуживанию комплекса модульных корпусов медицинского назначения типа «Родер» (легковозводимые каркасно-тентовые конструкции) №№1-6, наружного ограждения,</w:t>
      </w:r>
    </w:p>
    <w:p>
      <w:pPr>
        <w:pStyle w:val="Style30"/>
        <w:widowControl w:val="0"/>
        <w:keepNext w:val="0"/>
        <w:keepLines w:val="0"/>
        <w:shd w:val="clear" w:color="auto" w:fill="auto"/>
        <w:bidi w:val="0"/>
        <w:jc w:val="left"/>
        <w:spacing w:before="0" w:after="0" w:line="240" w:lineRule="auto"/>
        <w:ind w:left="0" w:right="0" w:firstLine="0"/>
        <w:sectPr>
          <w:type w:val="continuous"/>
          <w:pgSz w:w="11909" w:h="16838"/>
          <w:pgMar w:top="121" w:left="554" w:right="693" w:bottom="371" w:header="0" w:footer="3" w:gutter="0"/>
          <w:rtlGutter w:val="0"/>
          <w:cols w:space="720"/>
          <w:noEndnote/>
          <w:docGrid w:linePitch="360"/>
        </w:sectPr>
      </w:pPr>
      <w:r>
        <w:rPr>
          <w:w w:val="100"/>
          <w:spacing w:val="0"/>
          <w:color w:val="000000"/>
          <w:position w:val="0"/>
        </w:rPr>
        <w:t>001391295783</w:t>
      </w:r>
    </w:p>
    <w:p>
      <w:pPr>
        <w:pStyle w:val="Style10"/>
        <w:widowControl w:val="0"/>
        <w:keepNext w:val="0"/>
        <w:keepLines w:val="0"/>
        <w:shd w:val="clear" w:color="auto" w:fill="auto"/>
        <w:bidi w:val="0"/>
        <w:jc w:val="both"/>
        <w:spacing w:before="0" w:after="300" w:line="322" w:lineRule="exact"/>
        <w:ind w:left="20" w:right="20" w:firstLine="0"/>
      </w:pPr>
      <w:r>
        <w:rPr>
          <w:lang w:val="ru-RU" w:eastAsia="ru-RU" w:bidi="ru-RU"/>
          <w:w w:val="100"/>
          <w:spacing w:val="0"/>
          <w:color w:val="000000"/>
          <w:position w:val="0"/>
        </w:rPr>
        <w:t>покрытий проездов, оснований прогулочных дворов, площадок с бетонным основанием из плит, наружных сетей, инженерных сооружений, инженерных систем корпусов, кровли, а также сопутствующих услуг инженерного сопровождения, управления и контроля надлежащего содержания помещений, корпусов и прилегающих территорий, а также вспомогательных некапитальных сооружений расположенных по адресу: г. Москва, пос. Вороновское, вблизи дер. Сахарово, земельный участок с кадастровым номером 77:22:0030501:60, оказание услуг по эксплуатационному обслуживанию, инженерному сопровождению, управлению и контролю надлежащего содержания инженерных систем, инженерного оборудования, наружных сетей, инженерных сооружений, прилегающей территории, конструктивных и ограждающих элементов комплекса легковозводимых сборно-разборных некапитальных складских конструкций (корпуса 1.1, 1.2, 1.3 и 1.4), расположенных по адресу: г. Москва, п. Краснопахорское, кв-л107,вл.1 (Закупки №№ 0573500000823000003, 0573500000823000004)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3"/>
        <w:widowControl w:val="0"/>
        <w:keepNext/>
        <w:keepLines/>
        <w:shd w:val="clear" w:color="auto" w:fill="auto"/>
        <w:bidi w:val="0"/>
        <w:spacing w:before="0" w:after="0"/>
        <w:ind w:left="20" w:right="0" w:firstLine="0"/>
      </w:pPr>
      <w:bookmarkStart w:id="1" w:name="bookmark1"/>
      <w:r>
        <w:rPr>
          <w:lang w:val="ru-RU" w:eastAsia="ru-RU" w:bidi="ru-RU"/>
          <w:w w:val="100"/>
          <w:spacing w:val="0"/>
          <w:color w:val="000000"/>
          <w:position w:val="0"/>
        </w:rPr>
        <w:t>УСТАНОВИЛА:</w:t>
      </w:r>
      <w:bookmarkEnd w:id="1"/>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поступили жалобы Заявителя на действия Заказчика при проведении аукционов.</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08.02.2023 №ЕИ/5787/23 документы и сведения.</w:t>
      </w:r>
    </w:p>
    <w:p>
      <w:pPr>
        <w:pStyle w:val="Style10"/>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В результате рассмотрения жалоб Комиссия Управления установила следующее.</w:t>
      </w:r>
    </w:p>
    <w:p>
      <w:pPr>
        <w:pStyle w:val="Style10"/>
        <w:numPr>
          <w:ilvl w:val="0"/>
          <w:numId w:val="5"/>
        </w:numPr>
        <w:tabs>
          <w:tab w:leader="none" w:pos="1067"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составе жалоб Заявитель указывает на то, что Заказчиком в нарушение ч.4 ст.31 Закона о контрактной системе неправомерно не установлены дополнительные требования к участникам закупок, а именно требование о наличии опыта исполнения 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предусмотренных п.14 постановления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0"/>
        <w:numPr>
          <w:ilvl w:val="0"/>
          <w:numId w:val="7"/>
        </w:numPr>
        <w:widowControl w:val="0"/>
        <w:keepNext w:val="0"/>
        <w:keepLines w:val="0"/>
        <w:shd w:val="clear" w:color="auto" w:fill="auto"/>
        <w:bidi w:val="0"/>
        <w:jc w:val="both"/>
        <w:spacing w:before="0" w:after="0" w:line="322" w:lineRule="exact"/>
        <w:ind w:left="0" w:right="0" w:firstLine="640"/>
      </w:pPr>
      <w:r>
        <w:rPr>
          <w:lang w:val="ru-RU" w:eastAsia="ru-RU" w:bidi="ru-RU"/>
          <w:w w:val="100"/>
          <w:spacing w:val="0"/>
          <w:color w:val="000000"/>
          <w:position w:val="0"/>
        </w:rPr>
        <w:t xml:space="preserve"> финансовых ресурсов для исполнения контракта;</w:t>
      </w:r>
    </w:p>
    <w:p>
      <w:pPr>
        <w:pStyle w:val="Style10"/>
        <w:numPr>
          <w:ilvl w:val="0"/>
          <w:numId w:val="7"/>
        </w:numPr>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0"/>
        <w:numPr>
          <w:ilvl w:val="0"/>
          <w:numId w:val="7"/>
        </w:numPr>
        <w:widowControl w:val="0"/>
        <w:keepNext w:val="0"/>
        <w:keepLines w:val="0"/>
        <w:shd w:val="clear" w:color="auto" w:fill="auto"/>
        <w:bidi w:val="0"/>
        <w:jc w:val="both"/>
        <w:spacing w:before="0" w:after="0" w:line="322" w:lineRule="exact"/>
        <w:ind w:left="0" w:right="0" w:firstLine="64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0"/>
        <w:numPr>
          <w:ilvl w:val="0"/>
          <w:numId w:val="7"/>
        </w:numPr>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0"/>
        <w:tabs>
          <w:tab w:leader="none" w:pos="5515" w:val="left"/>
        </w:tabs>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w:t>
        <w:tab/>
        <w:t>ст.31 Закона о контрактной системе,</w:t>
      </w:r>
    </w:p>
    <w:p>
      <w:pPr>
        <w:pStyle w:val="Style10"/>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устанавливается Правительством Российской Федерации, в данном конкретном случае в соответствии с постановлением № 2571.</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Комиссией Управления установлено, что в соответствии с извещением о проведении электронного аукциона от 30.01.2023 № 0573500000823000003 объектом закупки является оказание услуг по эксплуатационному обслуживанию комплекса модульных корпусов медицинского назначения типа «Родер» (легковозводимые каркасно-тентовые конструкции) №№1-6, наружного ограждения, покрытий проездов, оснований прогулочных дворов, площадок с бетонным основанием из плит, наружных сетей, инженерных сооружений, инженерных систем корпусов, кровли, а также сопутствующих услуг инженерного сопровождения, управления и контроля надлежащего содержания помещений, корпусов и прилегающих территорий, а также вспомогательных некапитальных сооружений расположенных по адресу: г. Москва, пос. Вороновское, вблизи дер. Сахарово, земельный участок с кадастровым номером 77:22:0030501:60 с начальной (максимальной) ценой контракта 9 621 441,76 рублей;</w:t>
      </w:r>
    </w:p>
    <w:p>
      <w:pPr>
        <w:pStyle w:val="Style10"/>
        <w:tabs>
          <w:tab w:leader="none" w:pos="643" w:val="left"/>
        </w:tabs>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в соответствии с извещением о проведении электронного аукциона от 30.01.2023 №</w:t>
        <w:tab/>
        <w:t>0573500000823000004 объектом закупки является оказание услуг по</w:t>
      </w:r>
    </w:p>
    <w:p>
      <w:pPr>
        <w:pStyle w:val="Style10"/>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эксплуатационному обслуживанию, инженерному сопровождению, управлению и контролю надлежащего содержания инженерных систем, инженерного оборудования, наружных сетей, инженерных сооружений, прилегающей территории, конструктивных и ограждающих элементов комплекса легковозводимых сборно-разборных некапитальных складских конструкций (корпуса 1.1, 1.2, 1.3 и 1.4), расположенных по адресу: г. Москва, п. Краснопахорское, кв-л 107, вл. 1 с начальной (максимальной) ценой контракта 7 665 891,69 рублей.</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Согласно п. 14 приложения к постановлению № 2571 при проведении конкурентных процедур по оказанию услуг по техническому обслуживанию зданий, сооружений, к участникам закупки устанавливаются дополнительные требования, подтверждающиеся наличием опыта исполнения 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В соответствии с п. «а» ч.3 постановления № 2571 положения постановления применяются при проведении конкурентных способов определения поставщиков (подрядчиков, исполнителей), при этом позиции, в том числе 14 приложения применяется в случае, если при осуществлении закупки начальная (максимальная) цена контракта превышает 1 млн. рублей.</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В соответствии с ч.8 ст.55.24 Градостроительного кодекса Российской Федерации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Согласно п.21 ст.2 Федерального закона от 30.12.2009 № 384-ФЗ «Технический регламент о безопасности зданий и сооружений» система инженерно-технического обеспечения -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диспетчеризации, мусороудаления, вертикального транспорта (лифты, эскалаторы) или функций обеспечения безопасности.</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На заседании Комиссии Управления представитель Заказчика пояснил, что согласно п. 2.1 технического задания управляющая компания обязуется оказать услуги по комплексному обслуживанию имущества, принадлежащего Заказчику и расположенного в нежилом здании в соответствии с Приложением 1 «Перечень объектов закупки», Приложением 3 «Состав объектов, подлежащих обслуживанию», Приложением 4 «Перечень услуг по содержанию объекта» к техническому заданию в порядке и на условиях, предусмотренных контрактом и техническим заданием, а также требованиями актов, указанных в разделе 7 технического задания.</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Приложением 4 «Перечень услуг по содержанию объекта» к техническому заданию предусмотрен следующий состав услуг по эксплуатационному обслуживанию объекта:</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Дежурство персонала на объекте Заказчика;</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Организация диспетчерской службы;</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Контроль качества оказываемых услуг и участие в совещаниях (АУП);</w:t>
      </w:r>
    </w:p>
    <w:p>
      <w:pPr>
        <w:pStyle w:val="Style10"/>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-Эксплуатационный контроль состояния каркасно-тентовых конструкций,</w:t>
      </w:r>
    </w:p>
    <w:p>
      <w:pPr>
        <w:pStyle w:val="Style1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кровли, наружного ограждения, покрытий проездов, оснований прогулочных дворов, площадок с бетонным оснований из плит, наружных сетей, инженерных сооружений, инженерных систем корпусов с нахождением на объекте и размещением бытового помещения;</w:t>
      </w:r>
    </w:p>
    <w:p>
      <w:pPr>
        <w:pStyle w:val="Style10"/>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-Инженерное сопровождение, управление и контроль надлежащего содержания помещений, корпусов и прилегающих территорий;</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Информирование Заказчика о неисправности оборудования, дефектах;</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Предотвращение аварийных, пожароопасных и аналогичных ситуаций;</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Своевременный вызов аварийных служб;</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Информирование Заказчика о ситуации на объекте;</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Ведение журнала «Учета оказанных услуг»;</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Участие в совещаниях, в том числе выездных;</w:t>
      </w:r>
    </w:p>
    <w:p>
      <w:pPr>
        <w:pStyle w:val="Style10"/>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-Подготовка информационных (справочных) материалов, в том числе фото, видео;</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Участие в комиссиях, осмотрах;</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Контроль за пусконаладочными работами;</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Снятие показаний приборов учета;</w:t>
      </w:r>
    </w:p>
    <w:p>
      <w:pPr>
        <w:pStyle w:val="Style10"/>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-Наблюдения за ходом строительных работ на объекте с подготовкой информационной справки Заказчику;</w:t>
      </w:r>
    </w:p>
    <w:p>
      <w:pPr>
        <w:pStyle w:val="Style10"/>
        <w:numPr>
          <w:ilvl w:val="0"/>
          <w:numId w:val="9"/>
        </w:numPr>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 xml:space="preserve"> Ведение журнала «Учета нахождения персонала на объекте».</w:t>
      </w:r>
    </w:p>
    <w:p>
      <w:pPr>
        <w:pStyle w:val="Style10"/>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Заказчик пояснил, что для оказания услуг, перечисленных выше, Исполнитель будет привлекать ведущих инженеров по организации эксплуатации и ремонту зданий и сооружений, инженеров по организации эксплуатации и ремонту зданий и сооружений. Поэтому начальная (максимальная) цена контракта сформирована с применением затратного метода (учтены трудозатраты).</w:t>
      </w:r>
    </w:p>
    <w:p>
      <w:pPr>
        <w:pStyle w:val="Style10"/>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Виды систем инженерного оборудования, указанные в Приложении 1 «Перечень объектов закупки» к техническому заданию, приведены для информирования потенциальных участников закупки о наличии объектовых инженерных систем. Непосредственное техническое обслуживание инженерных систем осуществляется по отдельным заключенным контрактам.</w:t>
      </w:r>
    </w:p>
    <w:p>
      <w:pPr>
        <w:pStyle w:val="Style10"/>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Таким образом, Исполнитель должен будет обеспечить нахождение на объекте Заказчика дежурного персонала, обеспечивающего эксплуатационный контроль состояния объекта, его инженерных систем и оказывающего иные услуги в соответствии с Приложением 4 «Перечень услуг по содержанию объекта» к техническому заданию.</w:t>
      </w:r>
    </w:p>
    <w:p>
      <w:pPr>
        <w:pStyle w:val="Style10"/>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На основании изложенного у Заказчика отсутствовали основания для включения в состав извещения о проведении закупки дополнительного требования, предусмотренного позицией 14 постановления № 2571.</w:t>
      </w:r>
    </w:p>
    <w:p>
      <w:pPr>
        <w:pStyle w:val="Style10"/>
        <w:widowControl w:val="0"/>
        <w:keepNext w:val="0"/>
        <w:keepLines w:val="0"/>
        <w:shd w:val="clear" w:color="auto" w:fill="auto"/>
        <w:bidi w:val="0"/>
        <w:jc w:val="both"/>
        <w:spacing w:before="0" w:after="0" w:line="322" w:lineRule="exact"/>
        <w:ind w:left="20" w:right="20" w:firstLine="640"/>
      </w:pPr>
      <w:r>
        <w:rPr>
          <w:lang w:val="ru-RU" w:eastAsia="ru-RU" w:bidi="ru-RU"/>
          <w:w w:val="100"/>
          <w:spacing w:val="0"/>
          <w:color w:val="000000"/>
          <w:position w:val="0"/>
        </w:rPr>
        <w:t>Вместе с тем Комиссия Управления не соглашается с выводами представителя Заказчика ввиду следующего.</w:t>
      </w:r>
    </w:p>
    <w:p>
      <w:pPr>
        <w:pStyle w:val="Style10"/>
        <w:widowControl w:val="0"/>
        <w:keepNext w:val="0"/>
        <w:keepLines w:val="0"/>
        <w:shd w:val="clear" w:color="auto" w:fill="auto"/>
        <w:bidi w:val="0"/>
        <w:jc w:val="both"/>
        <w:spacing w:before="0" w:after="0" w:line="322" w:lineRule="exact"/>
        <w:ind w:left="20" w:right="0" w:firstLine="640"/>
      </w:pPr>
      <w:r>
        <w:rPr>
          <w:lang w:val="ru-RU" w:eastAsia="ru-RU" w:bidi="ru-RU"/>
          <w:w w:val="100"/>
          <w:spacing w:val="0"/>
          <w:color w:val="000000"/>
          <w:position w:val="0"/>
        </w:rPr>
        <w:t>Комиссией Управления установлено, что техническое задание закупочных процедур содержит раздел 3 «Состав услуг», в котором установлено, в частности следующее:</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пп. 3.1 Исполнитель в рамках оказания услуг обязан осуществлять следующие услуги по:</w:t>
      </w:r>
    </w:p>
    <w:p>
      <w:pPr>
        <w:pStyle w:val="Style10"/>
        <w:numPr>
          <w:ilvl w:val="0"/>
          <w:numId w:val="9"/>
        </w:numPr>
        <w:widowControl w:val="0"/>
        <w:keepNext w:val="0"/>
        <w:keepLines w:val="0"/>
        <w:shd w:val="clear" w:color="auto" w:fill="auto"/>
        <w:bidi w:val="0"/>
        <w:jc w:val="both"/>
        <w:spacing w:before="0" w:after="0" w:line="322" w:lineRule="exact"/>
        <w:ind w:left="20" w:right="0" w:firstLine="660"/>
      </w:pPr>
      <w:r>
        <w:rPr>
          <w:lang w:val="ru-RU" w:eastAsia="ru-RU" w:bidi="ru-RU"/>
          <w:w w:val="100"/>
          <w:spacing w:val="0"/>
          <w:color w:val="000000"/>
          <w:position w:val="0"/>
        </w:rPr>
        <w:t xml:space="preserve"> обеспечению бесперебойного функционирования объекта;</w:t>
      </w:r>
    </w:p>
    <w:p>
      <w:pPr>
        <w:pStyle w:val="Style10"/>
        <w:numPr>
          <w:ilvl w:val="0"/>
          <w:numId w:val="9"/>
        </w:numPr>
        <w:widowControl w:val="0"/>
        <w:keepNext w:val="0"/>
        <w:keepLines w:val="0"/>
        <w:shd w:val="clear" w:color="auto" w:fill="auto"/>
        <w:bidi w:val="0"/>
        <w:jc w:val="both"/>
        <w:spacing w:before="0" w:after="0" w:line="322" w:lineRule="exact"/>
        <w:ind w:left="20" w:right="0" w:firstLine="660"/>
      </w:pPr>
      <w:r>
        <w:rPr>
          <w:lang w:val="ru-RU" w:eastAsia="ru-RU" w:bidi="ru-RU"/>
          <w:w w:val="100"/>
          <w:spacing w:val="0"/>
          <w:color w:val="000000"/>
          <w:position w:val="0"/>
        </w:rPr>
        <w:t xml:space="preserve"> мониторингу технического состояния объекта;</w:t>
      </w:r>
    </w:p>
    <w:p>
      <w:pPr>
        <w:pStyle w:val="Style10"/>
        <w:numPr>
          <w:ilvl w:val="0"/>
          <w:numId w:val="9"/>
        </w:numPr>
        <w:widowControl w:val="0"/>
        <w:keepNext w:val="0"/>
        <w:keepLines w:val="0"/>
        <w:shd w:val="clear" w:color="auto" w:fill="auto"/>
        <w:bidi w:val="0"/>
        <w:jc w:val="both"/>
        <w:spacing w:before="0" w:after="0" w:line="322" w:lineRule="exact"/>
        <w:ind w:left="20" w:right="0" w:firstLine="660"/>
      </w:pPr>
      <w:r>
        <w:rPr>
          <w:lang w:val="ru-RU" w:eastAsia="ru-RU" w:bidi="ru-RU"/>
          <w:w w:val="100"/>
          <w:spacing w:val="0"/>
          <w:color w:val="000000"/>
          <w:position w:val="0"/>
        </w:rPr>
        <w:t xml:space="preserve"> круглосуточному диспетчерскому обслуживанию объекта;</w:t>
      </w:r>
    </w:p>
    <w:p>
      <w:pPr>
        <w:pStyle w:val="Style10"/>
        <w:numPr>
          <w:ilvl w:val="0"/>
          <w:numId w:val="9"/>
        </w:numPr>
        <w:widowControl w:val="0"/>
        <w:keepNext w:val="0"/>
        <w:keepLines w:val="0"/>
        <w:shd w:val="clear" w:color="auto" w:fill="auto"/>
        <w:bidi w:val="0"/>
        <w:jc w:val="both"/>
        <w:spacing w:before="0" w:after="0" w:line="322" w:lineRule="exact"/>
        <w:ind w:left="20" w:right="0" w:firstLine="660"/>
      </w:pPr>
      <w:r>
        <w:rPr>
          <w:lang w:val="ru-RU" w:eastAsia="ru-RU" w:bidi="ru-RU"/>
          <w:w w:val="100"/>
          <w:spacing w:val="0"/>
          <w:color w:val="000000"/>
          <w:position w:val="0"/>
        </w:rPr>
        <w:t xml:space="preserve"> своевременному устранению аварийных ситуаций;</w:t>
      </w:r>
    </w:p>
    <w:p>
      <w:pPr>
        <w:pStyle w:val="Style10"/>
        <w:numPr>
          <w:ilvl w:val="0"/>
          <w:numId w:val="9"/>
        </w:numPr>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 xml:space="preserve"> принятию и рассмотрению заявок Заказчика в соответствии с требованиями пункта 2.15 настоящего Технического задания, жалоб и необходимых мер по их разрешению;</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-ведению технической документации в соответствии с требованиями акта, указанного в пункте 7.20 настоящего Технического задания;</w:t>
      </w:r>
    </w:p>
    <w:p>
      <w:pPr>
        <w:pStyle w:val="Style10"/>
        <w:numPr>
          <w:ilvl w:val="0"/>
          <w:numId w:val="9"/>
        </w:numPr>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 xml:space="preserve"> и иные услуги в соответствии с Приложением 4 «Перечень услуг по содержанию объекта» к настоящему Техническому заданию.</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Кроме того техническое задание закупочных процедур содержит раздел 2 «Стандарт услуг», согласно которому определено, что исполнитель должен в течение 1 (одного) часа с момента получения заявки от Заказчика направить ремонтную (аварийную) бригаду на объект Заказчика и приступить к устранению дефектов и (или) неисправностей, указанных в заявке, в круглосуточном режиме в рабочие, выходные и праздничные дни (п. 2.17).</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В случае невозможности устранения дефектов и (или) неисправностей оборудования в срок, указанный в заявке, Исполнитель должен не позднее 24 (двадцати четырех) часов с момента получения заявки предоставить подменное оборудование с аналогичными вышедшему из строя оборудованию техническими характеристиками на период устранения дефектов и (или) неисправностей (2.18).</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При возникновении аварийных ситуаций оказание услуг должно осуществляться в соответствии с требованиями акта «Регламент аварийно-технического обслуживания систем инженерного оборудования жилых и общественных зданий в г. Москве» (утв. первым зам. Мэра в Правительстве Москвы 08.01.2004) (п. 2.20).</w:t>
      </w:r>
    </w:p>
    <w:p>
      <w:pPr>
        <w:pStyle w:val="Style10"/>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 xml:space="preserve">Комиссией Управления установлено, что объект закупочной процедуры попадает под сферу градостроительной деятельности, ввиду чего объект закупки относится к Разделу </w:t>
      </w:r>
      <w:r>
        <w:rPr>
          <w:lang w:val="en-US" w:eastAsia="en-US" w:bidi="en-US"/>
          <w:w w:val="100"/>
          <w:spacing w:val="0"/>
          <w:color w:val="000000"/>
          <w:position w:val="0"/>
        </w:rPr>
        <w:t xml:space="preserve">II </w:t>
      </w:r>
      <w:r>
        <w:rPr>
          <w:lang w:val="ru-RU" w:eastAsia="ru-RU" w:bidi="ru-RU"/>
          <w:w w:val="100"/>
          <w:spacing w:val="0"/>
          <w:color w:val="000000"/>
          <w:position w:val="0"/>
        </w:rPr>
        <w:t>«Дополнительные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и соответственно Заказчику надлежало установить дополнительные требования к участникам закупки в соответствии с требованиями п.14 Приложения к Постановлению №2571.</w:t>
      </w:r>
    </w:p>
    <w:p>
      <w:pPr>
        <w:pStyle w:val="Style10"/>
        <w:widowControl w:val="0"/>
        <w:keepNext w:val="0"/>
        <w:keepLines w:val="0"/>
        <w:shd w:val="clear" w:color="auto" w:fill="auto"/>
        <w:bidi w:val="0"/>
        <w:jc w:val="both"/>
        <w:spacing w:before="0" w:after="0" w:line="322" w:lineRule="exact"/>
        <w:ind w:left="20" w:right="0" w:firstLine="660"/>
      </w:pPr>
      <w:r>
        <w:rPr>
          <w:lang w:val="ru-RU" w:eastAsia="ru-RU" w:bidi="ru-RU"/>
          <w:w w:val="100"/>
          <w:spacing w:val="0"/>
          <w:color w:val="000000"/>
          <w:position w:val="0"/>
        </w:rPr>
        <w:t>Доказательств обратного из положений технических заданий не следует.</w:t>
      </w:r>
    </w:p>
    <w:p>
      <w:pPr>
        <w:pStyle w:val="Style10"/>
        <w:tabs>
          <w:tab w:leader="none" w:pos="4426" w:val="left"/>
        </w:tabs>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Заказчика ч.4 ст.31, п.12 ч.1 ст.42 Закона о контрактной системе, что содержит признаки состава административного правонарушения, ответственность за которое предусмотрена ч.1.4</w:t>
        <w:tab/>
        <w:t>ст.7.30 Кодекса Российской Федерации об</w:t>
      </w:r>
    </w:p>
    <w:p>
      <w:pPr>
        <w:pStyle w:val="Style10"/>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административных правонарушениях.</w:t>
      </w:r>
    </w:p>
    <w:p>
      <w:pPr>
        <w:pStyle w:val="Style10"/>
        <w:numPr>
          <w:ilvl w:val="0"/>
          <w:numId w:val="5"/>
        </w:numPr>
        <w:tabs>
          <w:tab w:leader="none" w:pos="1107" w:val="left"/>
        </w:tabs>
        <w:widowControl w:val="0"/>
        <w:keepNext w:val="0"/>
        <w:keepLines w:val="0"/>
        <w:shd w:val="clear" w:color="auto" w:fill="auto"/>
        <w:bidi w:val="0"/>
        <w:jc w:val="both"/>
        <w:spacing w:before="0" w:after="0" w:line="322" w:lineRule="exact"/>
        <w:ind w:left="20" w:right="0" w:firstLine="660"/>
      </w:pPr>
      <w:r>
        <w:rPr>
          <w:lang w:val="ru-RU" w:eastAsia="ru-RU" w:bidi="ru-RU"/>
          <w:w w:val="100"/>
          <w:spacing w:val="0"/>
          <w:color w:val="000000"/>
          <w:position w:val="0"/>
        </w:rPr>
        <w:t>Согласно доводам жалоб в п. 2.16 технического задания закупочных</w:t>
      </w:r>
    </w:p>
    <w:p>
      <w:pPr>
        <w:pStyle w:val="Style10"/>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процедур Заказчик установил следующее требование:</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«Заказчик должен согласовать с Исполнителем порядок направления заявок в течение 5 (пяти) рабочих дней с даты заключения Контракта. Все направленные Заказчиком Исполнителю заявки считаются поступившими к Исполнителю и принятыми им к исполнению в день направления заявок, вне зависимости от подтверждения факта получения заявки Исполнителем. Прием заявок осуществляется Исполнителем круглосуточно».</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Согласно ч.4 ст.106 Закона о контрактной системе участник закупки, подав</w:t>
      </w:r>
      <w:r>
        <w:rPr>
          <w:rStyle w:val="CharStyle35"/>
        </w:rPr>
        <w:t>ши</w:t>
      </w:r>
      <w:r>
        <w:rPr>
          <w:lang w:val="ru-RU" w:eastAsia="ru-RU" w:bidi="ru-RU"/>
          <w:w w:val="100"/>
          <w:spacing w:val="0"/>
          <w:color w:val="000000"/>
          <w:position w:val="0"/>
        </w:rPr>
        <w:t>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На заседании Комиссии Управления представитель Заявителя пояснил, что требование, содержащиеся в 2.16 технических заданий неправомерно, так как из п. 67 Постановления Пленума Верховного Суда РФ от 23.06.2015 № 25, на лице, направившем сообщение, лежит бремя доказывания не только факта направления (осуществления) сообщения, но и факта его доставки адресату.</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На заседании представитель Заказчика пояснил, что согласно пункту 1.3 раздела 1 Постановления Правительства Москвы от 19.07.2019 № 899-ПП «О системе закупок города Москвы» (вместе с «Положением о системе закупок города Москвы», «Перечнем правовых актов (отдельных положений правовых актов) города Москвы, признаваемых утратившими силу») (далее - Положение) хозяйственные общества в случаях, установленных статьей 15 Закона о контрактной системе, осуществляют закупки товаров, работ, услуг с использованием Единой автоматизированной информационной системы торгов города Москвы (далее - ЕАИСТ) в соответствии с требованиями Закона о контрактной системе и Положения.</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В соответствии с абзацем 2 пункта 6.4 раздела 6 разработка и размещение комплектов типовых документов (в том числе типового технического задания) в ЕАИСТ осуществляются в сроки и порядке, установленные совместным правовым актом Департамента экономической политики и развития города Москвы, Департамента города Москвы по конкурентной политике и Главного контрольного управления города Москвы.</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Пунктом 6.7 раздела 6 Положения установлено, что утвержденные в установленном порядке типовые формы закупочной документации, комплекты типовых форм документов подлежат обязательному применению заказчиками.</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Таким образом, в рассматриваемых закупках Заказчиком было применено типовое техническое задание.</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Пунктом 2.2. технического задания на Исполнителя возложена обязанность в течение 1 (одного) рабочего дня с даты заключения контракта назначить ответственное контактное лицо, определить номер телефонной линии диспетчерской (аварийной) службы, адрес электронной почты для приема данных (заявок, запросов, писем) в электронной форме.</w:t>
      </w:r>
    </w:p>
    <w:p>
      <w:pPr>
        <w:pStyle w:val="Style10"/>
        <w:widowControl w:val="0"/>
        <w:keepNext w:val="0"/>
        <w:keepLines w:val="0"/>
        <w:shd w:val="clear" w:color="auto" w:fill="auto"/>
        <w:bidi w:val="0"/>
        <w:jc w:val="both"/>
        <w:spacing w:before="0" w:after="0" w:line="322" w:lineRule="exact"/>
        <w:ind w:left="0" w:right="20" w:firstLine="640"/>
      </w:pPr>
      <w:r>
        <w:rPr>
          <w:lang w:val="ru-RU" w:eastAsia="ru-RU" w:bidi="ru-RU"/>
          <w:w w:val="100"/>
          <w:spacing w:val="0"/>
          <w:color w:val="000000"/>
          <w:position w:val="0"/>
        </w:rPr>
        <w:t>В п.2.16 технического задания указано, что Заказчик должен согласовать с Исполнителем порядок направления заявок в течение 5 (пяти) рабочих дней с даты заключения контракта. Данного срока достаточно для отработки механизма бесперебойной отправки - приема заявок, который, учитывая важность и</w:t>
        <w:br w:type="page"/>
        <w:t>своевременность оказываемых по контракту услуг и может включать в себя, в том числе, резервные адреса электронной почты для приема заявок.</w:t>
      </w:r>
    </w:p>
    <w:p>
      <w:pPr>
        <w:pStyle w:val="Style1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Доказательств обратного Заявителем на заседании Комиссии Управления не представлено.</w:t>
      </w:r>
    </w:p>
    <w:p>
      <w:pPr>
        <w:pStyle w:val="Style1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Исследовав представленные материалы, руководствуясь Законом о контрактной системе, Комиссия Управления</w:t>
      </w:r>
    </w:p>
    <w:p>
      <w:pPr>
        <w:pStyle w:val="Style27"/>
        <w:widowControl w:val="0"/>
        <w:keepNext w:val="0"/>
        <w:keepLines w:val="0"/>
        <w:shd w:val="clear" w:color="auto" w:fill="auto"/>
        <w:bidi w:val="0"/>
        <w:jc w:val="left"/>
        <w:spacing w:before="0" w:after="0" w:line="322" w:lineRule="exact"/>
        <w:ind w:left="4720" w:right="0" w:firstLine="0"/>
      </w:pPr>
      <w:r>
        <w:rPr>
          <w:lang w:val="ru-RU" w:eastAsia="ru-RU" w:bidi="ru-RU"/>
          <w:w w:val="100"/>
          <w:spacing w:val="0"/>
          <w:color w:val="000000"/>
          <w:position w:val="0"/>
        </w:rPr>
        <w:t>Р Е Ш И Л А:</w:t>
      </w:r>
    </w:p>
    <w:p>
      <w:pPr>
        <w:pStyle w:val="Style10"/>
        <w:numPr>
          <w:ilvl w:val="0"/>
          <w:numId w:val="1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Признать жалобы ООО «Полимер-Рус» на действия ГУП «М.Прогресс» обоснованными в части не установления дополнительных требований к участникам закупок в соответствии с требованиями п.14 Приложения к Постановлению №2571.</w:t>
      </w:r>
    </w:p>
    <w:p>
      <w:pPr>
        <w:pStyle w:val="Style10"/>
        <w:numPr>
          <w:ilvl w:val="0"/>
          <w:numId w:val="1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Признать в действиях Заказчика нарушение ч.4 ст.31, п.12 ч.1 ст.42 Закона о контрактной системе.</w:t>
      </w:r>
    </w:p>
    <w:p>
      <w:pPr>
        <w:pStyle w:val="Style10"/>
        <w:numPr>
          <w:ilvl w:val="0"/>
          <w:numId w:val="1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10"/>
        <w:numPr>
          <w:ilvl w:val="0"/>
          <w:numId w:val="11"/>
        </w:numPr>
        <w:widowControl w:val="0"/>
        <w:keepNext w:val="0"/>
        <w:keepLines w:val="0"/>
        <w:shd w:val="clear" w:color="auto" w:fill="auto"/>
        <w:bidi w:val="0"/>
        <w:jc w:val="both"/>
        <w:spacing w:before="0" w:after="240" w:line="322" w:lineRule="exact"/>
        <w:ind w:left="2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w:t>
      </w:r>
      <w:r>
        <w:rPr>
          <w:rStyle w:val="CharStyle36"/>
        </w:rPr>
        <w:t>УФАС</w:t>
      </w:r>
      <w:r>
        <w:rPr>
          <w:lang w:val="ru-RU" w:eastAsia="ru-RU" w:bidi="ru-RU"/>
          <w:w w:val="100"/>
          <w:spacing w:val="0"/>
          <w:color w:val="000000"/>
          <w:position w:val="0"/>
        </w:rPr>
        <w:t xml:space="preserve"> России для рассмотрения вопроса о возбуждении дела об административном правонарушении.</w:t>
      </w:r>
    </w:p>
    <w:p>
      <w:pPr>
        <w:pStyle w:val="Style10"/>
        <w:framePr w:h="250" w:vSpace="763" w:wrap="around" w:vAnchor="text" w:hAnchor="margin" w:x="8858" w:y="1345"/>
        <w:widowControl w:val="0"/>
        <w:keepNext w:val="0"/>
        <w:keepLines w:val="0"/>
        <w:shd w:val="clear" w:color="auto" w:fill="auto"/>
        <w:bidi w:val="0"/>
        <w:jc w:val="left"/>
        <w:spacing w:before="0" w:after="0" w:line="240" w:lineRule="exact"/>
        <w:ind w:left="100" w:right="0" w:firstLine="0"/>
      </w:pPr>
      <w:r>
        <w:rPr>
          <w:rStyle w:val="CharStyle32"/>
          <w:spacing w:val="0"/>
        </w:rPr>
        <w:t>Д.С. Грешнева</w:t>
      </w:r>
    </w:p>
    <w:p>
      <w:pPr>
        <w:pStyle w:val="Style10"/>
        <w:widowControl w:val="0"/>
        <w:keepNext w:val="0"/>
        <w:keepLines w:val="0"/>
        <w:shd w:val="clear" w:color="auto" w:fill="auto"/>
        <w:bidi w:val="0"/>
        <w:jc w:val="both"/>
        <w:spacing w:before="0" w:after="296" w:line="322" w:lineRule="exact"/>
        <w:ind w:left="2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framePr w:h="1594" w:wrap="notBeside" w:vAnchor="text" w:hAnchor="text" w:xAlign="center" w:y="1"/>
        <w:widowControl w:val="0"/>
        <w:jc w:val="center"/>
        <w:rPr>
          <w:sz w:val="2"/>
          <w:szCs w:val="2"/>
        </w:rPr>
      </w:pPr>
      <w:r>
        <w:pict>
          <v:shape id="_x0000_s1030" type="#_x0000_t75" style="width:174pt;height:80pt;">
            <v:imagedata r:id="rId10" r:href="rId11"/>
          </v:shape>
        </w:pict>
      </w:r>
    </w:p>
    <w:p>
      <w:pPr>
        <w:widowControl w:val="0"/>
        <w:rPr>
          <w:sz w:val="2"/>
          <w:szCs w:val="2"/>
        </w:rPr>
      </w:pPr>
    </w:p>
    <w:p>
      <w:pPr>
        <w:pStyle w:val="Style10"/>
        <w:framePr w:h="240" w:wrap="around" w:vAnchor="text" w:hAnchor="margin" w:x="8863" w:y="2017"/>
        <w:widowControl w:val="0"/>
        <w:keepNext w:val="0"/>
        <w:keepLines w:val="0"/>
        <w:shd w:val="clear" w:color="auto" w:fill="auto"/>
        <w:bidi w:val="0"/>
        <w:jc w:val="left"/>
        <w:spacing w:before="0" w:after="0" w:line="240" w:lineRule="exact"/>
        <w:ind w:left="100" w:right="0" w:firstLine="0"/>
      </w:pPr>
      <w:r>
        <w:rPr>
          <w:rStyle w:val="CharStyle32"/>
          <w:spacing w:val="0"/>
        </w:rPr>
        <w:t>М.О. Мацнева</w:t>
      </w:r>
    </w:p>
    <w:p>
      <w:pPr>
        <w:pStyle w:val="Style10"/>
        <w:widowControl w:val="0"/>
        <w:keepNext w:val="0"/>
        <w:keepLines w:val="0"/>
        <w:shd w:val="clear" w:color="auto" w:fill="auto"/>
        <w:bidi w:val="0"/>
        <w:jc w:val="right"/>
        <w:spacing w:before="0" w:after="1688" w:line="260" w:lineRule="exact"/>
        <w:ind w:left="0" w:right="20" w:firstLine="0"/>
      </w:pPr>
      <w:r>
        <w:rPr>
          <w:lang w:val="ru-RU" w:eastAsia="ru-RU" w:bidi="ru-RU"/>
          <w:w w:val="100"/>
          <w:spacing w:val="0"/>
          <w:color w:val="000000"/>
          <w:position w:val="0"/>
        </w:rPr>
        <w:t>Председательствующий</w:t>
      </w:r>
    </w:p>
    <w:p>
      <w:pPr>
        <w:framePr w:h="1594" w:wrap="notBeside" w:vAnchor="text" w:hAnchor="text" w:xAlign="center" w:y="1"/>
        <w:widowControl w:val="0"/>
        <w:jc w:val="center"/>
        <w:rPr>
          <w:sz w:val="2"/>
          <w:szCs w:val="2"/>
        </w:rPr>
      </w:pPr>
      <w:r>
        <w:pict>
          <v:shape id="_x0000_s1031" type="#_x0000_t75" style="width:174pt;height:80pt;">
            <v:imagedata r:id="rId12" r:href="rId13"/>
          </v:shape>
        </w:pict>
      </w:r>
    </w:p>
    <w:p>
      <w:pPr>
        <w:widowControl w:val="0"/>
        <w:rPr>
          <w:sz w:val="2"/>
          <w:szCs w:val="2"/>
        </w:rPr>
      </w:pPr>
    </w:p>
    <w:p>
      <w:pPr>
        <w:framePr w:h="1594" w:wrap="around" w:vAnchor="text" w:hAnchor="margin" w:x="3815" w:y="1940"/>
        <w:widowControl w:val="0"/>
        <w:jc w:val="center"/>
        <w:rPr>
          <w:sz w:val="2"/>
          <w:szCs w:val="2"/>
        </w:rPr>
      </w:pPr>
      <w:r>
        <w:pict>
          <v:shape id="_x0000_s1032" type="#_x0000_t75" style="width:173pt;height:80pt;">
            <v:imagedata r:id="rId14" r:href="rId15"/>
          </v:shape>
        </w:pict>
      </w:r>
    </w:p>
    <w:p>
      <w:pPr>
        <w:pStyle w:val="Style10"/>
        <w:widowControl w:val="0"/>
        <w:keepNext w:val="0"/>
        <w:keepLines w:val="0"/>
        <w:shd w:val="clear" w:color="auto" w:fill="auto"/>
        <w:bidi w:val="0"/>
        <w:jc w:val="right"/>
        <w:spacing w:before="0" w:after="1667" w:line="260" w:lineRule="exact"/>
        <w:ind w:left="0" w:right="20" w:firstLine="0"/>
      </w:pPr>
      <w:r>
        <w:rPr>
          <w:lang w:val="ru-RU" w:eastAsia="ru-RU" w:bidi="ru-RU"/>
          <w:w w:val="100"/>
          <w:spacing w:val="0"/>
          <w:color w:val="000000"/>
          <w:position w:val="0"/>
        </w:rPr>
        <w:t>Члены Комиссии:</w:t>
      </w:r>
    </w:p>
    <w:p>
      <w:pPr>
        <w:pStyle w:val="Style10"/>
        <w:widowControl w:val="0"/>
        <w:keepNext w:val="0"/>
        <w:keepLines w:val="0"/>
        <w:shd w:val="clear" w:color="auto" w:fill="auto"/>
        <w:bidi w:val="0"/>
        <w:jc w:val="right"/>
        <w:spacing w:before="0" w:after="2306" w:line="260" w:lineRule="exact"/>
        <w:ind w:left="0" w:right="20" w:firstLine="0"/>
      </w:pPr>
      <w:r>
        <w:rPr>
          <w:lang w:val="ru-RU" w:eastAsia="ru-RU" w:bidi="ru-RU"/>
          <w:w w:val="100"/>
          <w:spacing w:val="0"/>
          <w:color w:val="000000"/>
          <w:position w:val="0"/>
        </w:rPr>
        <w:t>И.И. Фурсиков</w:t>
      </w:r>
    </w:p>
    <w:p>
      <w:pPr>
        <w:pStyle w:val="Style37"/>
        <w:widowControl w:val="0"/>
        <w:keepNext w:val="0"/>
        <w:keepLines w:val="0"/>
        <w:shd w:val="clear" w:color="auto" w:fill="auto"/>
        <w:bidi w:val="0"/>
        <w:jc w:val="left"/>
        <w:spacing w:before="0" w:after="0"/>
        <w:ind w:left="20" w:right="8800" w:firstLine="0"/>
      </w:pPr>
      <w:r>
        <w:rPr>
          <w:lang w:val="ru-RU" w:eastAsia="ru-RU" w:bidi="ru-RU"/>
          <w:w w:val="100"/>
          <w:spacing w:val="0"/>
          <w:color w:val="000000"/>
          <w:position w:val="0"/>
        </w:rPr>
        <w:t>Исп.Мацнева М.О. тел.8(495)784-75-05</w:t>
      </w:r>
    </w:p>
    <w:sectPr>
      <w:pgSz w:w="11909" w:h="16838"/>
      <w:pgMar w:top="1232" w:left="627" w:right="620" w:bottom="1102"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32.05pt;margin-top:795.6pt;width:51.1pt;height:7.9pt;z-index:-188744063;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b/>
                    <w:bCs/>
                  </w:rPr>
                  <w:t>2023-8150</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8.2pt;margin-top:806.pt;width:51.35pt;height:7.9pt;z-index:-188744062;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r>
                  <w:rPr>
                    <w:rStyle w:val="CharStyle5"/>
                    <w:b/>
                    <w:bCs/>
                  </w:rPr>
                  <w:t>2023-8150</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35pt;margin-top:38.15pt;width:5.3pt;height:7.9pt;z-index:-188744064;mso-wrap-style:none;mso-wrap-distance-left:5.pt;mso-wrap-distance-right:5.pt;mso-position-horizontal-relative:page;mso-position-vertical-relative:page" wrapcoords="0 0" filled="f" stroked="f">
          <v:textbox style="mso-fit-shape-to-text:t" inset="0,0,0,0">
            <w:txbxContent>
              <w:p>
                <w:pPr>
                  <w:pStyle w:val="Style3"/>
                  <w:widowControl w:val="0"/>
                  <w:keepNext w:val="0"/>
                  <w:keepLines w:val="0"/>
                  <w:shd w:val="clear" w:color="auto" w:fill="auto"/>
                  <w:bidi w:val="0"/>
                  <w:jc w:val="left"/>
                  <w:spacing w:before="0" w:after="0" w:line="240" w:lineRule="auto"/>
                  <w:ind w:left="0" w:right="0" w:firstLine="0"/>
                </w:pPr>
                <w:fldSimple w:instr=" PAGE \* MERGEFORMAT ">
                  <w:r>
                    <w:rPr>
                      <w:rStyle w:val="CharStyle5"/>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3"/>
      <w:numFmt w:val="decimal"/>
      <w:lvlText w:val="09.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3"/>
      <w:numFmt w:val="decimal"/>
      <w:lvlText w:val="16.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Колонтитул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Колонтитул"/>
    <w:basedOn w:val="CharStyle4"/>
    <w:rPr>
      <w:lang w:val="ru-RU" w:eastAsia="ru-RU" w:bidi="ru-RU"/>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ru-RU" w:eastAsia="ru-RU" w:bidi="ru-RU"/>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ru-RU" w:eastAsia="ru-RU" w:bidi="ru-RU"/>
      <w:w w:val="100"/>
      <w:spacing w:val="0"/>
      <w:color w:val="000000"/>
      <w:position w:val="0"/>
    </w:rPr>
  </w:style>
  <w:style w:type="character" w:customStyle="1" w:styleId="CharStyle16">
    <w:name w:val="Основной текст (3)"/>
    <w:basedOn w:val="CharStyle13"/>
    <w:rPr>
      <w:lang w:val="en-US" w:eastAsia="en-US" w:bidi="en-US"/>
      <w:u w:val="single"/>
      <w:w w:val="100"/>
      <w:spacing w:val="0"/>
      <w:color w:val="000000"/>
      <w:position w:val="0"/>
    </w:rPr>
  </w:style>
  <w:style w:type="character" w:customStyle="1" w:styleId="CharStyle17">
    <w:name w:val="Основной текст (3)"/>
    <w:basedOn w:val="CharStyle13"/>
    <w:rPr>
      <w:lang w:val="en-US" w:eastAsia="en-US" w:bidi="en-US"/>
      <w:u w:val="single"/>
      <w:w w:val="100"/>
      <w:spacing w:val="0"/>
      <w:color w:val="000000"/>
      <w:position w:val="0"/>
    </w:rPr>
  </w:style>
  <w:style w:type="character" w:customStyle="1" w:styleId="CharStyle19">
    <w:name w:val="Заголовок №1_"/>
    <w:basedOn w:val="DefaultParagraphFont"/>
    <w:link w:val="Style18"/>
    <w:rPr>
      <w:b w:val="0"/>
      <w:bCs w:val="0"/>
      <w:i w:val="0"/>
      <w:iCs w:val="0"/>
      <w:u w:val="none"/>
      <w:strike w:val="0"/>
      <w:smallCaps w:val="0"/>
      <w:sz w:val="26"/>
      <w:szCs w:val="26"/>
      <w:rFonts w:ascii="Times New Roman" w:eastAsia="Times New Roman" w:hAnsi="Times New Roman" w:cs="Times New Roman"/>
      <w:spacing w:val="10"/>
    </w:rPr>
  </w:style>
  <w:style w:type="character" w:customStyle="1" w:styleId="CharStyle20">
    <w:name w:val="Заголовок №1 + Arial,12 pt,Интервал 0 pt"/>
    <w:basedOn w:val="CharStyle19"/>
    <w:rPr>
      <w:lang w:val="ru-RU" w:eastAsia="ru-RU" w:bidi="ru-RU"/>
      <w:sz w:val="24"/>
      <w:szCs w:val="24"/>
      <w:rFonts w:ascii="Arial" w:eastAsia="Arial" w:hAnsi="Arial" w:cs="Arial"/>
      <w:w w:val="100"/>
      <w:spacing w:val="0"/>
      <w:color w:val="000000"/>
      <w:position w:val="0"/>
    </w:rPr>
  </w:style>
  <w:style w:type="character" w:customStyle="1" w:styleId="CharStyle22">
    <w:name w:val="Основной текст (4) Exact"/>
    <w:basedOn w:val="DefaultParagraphFont"/>
    <w:link w:val="Style21"/>
    <w:rPr>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23">
    <w:name w:val="Основной текст (4) Exact"/>
    <w:basedOn w:val="CharStyle22"/>
    <w:rPr>
      <w:lang w:val="ru-RU" w:eastAsia="ru-RU" w:bidi="ru-RU"/>
      <w:w w:val="100"/>
      <w:color w:val="000000"/>
      <w:position w:val="0"/>
    </w:rPr>
  </w:style>
  <w:style w:type="character" w:customStyle="1" w:styleId="CharStyle25">
    <w:name w:val="Основной текст (5) Exact"/>
    <w:basedOn w:val="DefaultParagraphFont"/>
    <w:link w:val="Style24"/>
    <w:rPr>
      <w:b w:val="0"/>
      <w:bCs w:val="0"/>
      <w:i w:val="0"/>
      <w:iCs w:val="0"/>
      <w:u w:val="none"/>
      <w:strike w:val="0"/>
      <w:smallCaps w:val="0"/>
      <w:sz w:val="34"/>
      <w:szCs w:val="34"/>
      <w:rFonts w:ascii="Arial" w:eastAsia="Arial" w:hAnsi="Arial" w:cs="Arial"/>
      <w:w w:val="150"/>
    </w:rPr>
  </w:style>
  <w:style w:type="character" w:customStyle="1" w:styleId="CharStyle26">
    <w:name w:val="Основной текст (5) Exact"/>
    <w:basedOn w:val="CharStyle25"/>
    <w:rPr>
      <w:lang w:val="ru-RU" w:eastAsia="ru-RU" w:bidi="ru-RU"/>
      <w:spacing w:val="0"/>
      <w:color w:val="000000"/>
      <w:position w:val="0"/>
    </w:rPr>
  </w:style>
  <w:style w:type="character" w:customStyle="1" w:styleId="CharStyle28">
    <w:name w:val="Основной текст (6)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6) Exact"/>
    <w:basedOn w:val="DefaultParagraphFont"/>
    <w:rPr>
      <w:b/>
      <w:bCs/>
      <w:i w:val="0"/>
      <w:iCs w:val="0"/>
      <w:u w:val="none"/>
      <w:strike w:val="0"/>
      <w:smallCaps w:val="0"/>
      <w:rFonts w:ascii="Times New Roman" w:eastAsia="Times New Roman" w:hAnsi="Times New Roman" w:cs="Times New Roman"/>
      <w:spacing w:val="2"/>
    </w:rPr>
  </w:style>
  <w:style w:type="character" w:customStyle="1" w:styleId="CharStyle31">
    <w:name w:val="Штрих-код (2)_"/>
    <w:basedOn w:val="DefaultParagraphFont"/>
    <w:link w:val="Style3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2">
    <w:name w:val="Основной текст Exact"/>
    <w:basedOn w:val="DefaultParagraphFont"/>
    <w:rPr>
      <w:b w:val="0"/>
      <w:bCs w:val="0"/>
      <w:i w:val="0"/>
      <w:iCs w:val="0"/>
      <w:u w:val="none"/>
      <w:strike w:val="0"/>
      <w:smallCaps w:val="0"/>
      <w:rFonts w:ascii="Times New Roman" w:eastAsia="Times New Roman" w:hAnsi="Times New Roman" w:cs="Times New Roman"/>
      <w:spacing w:val="4"/>
    </w:rPr>
  </w:style>
  <w:style w:type="character" w:customStyle="1" w:styleId="CharStyle34">
    <w:name w:val="Заголовок №2_"/>
    <w:basedOn w:val="DefaultParagraphFont"/>
    <w:link w:val="Style33"/>
    <w:rPr>
      <w:b/>
      <w:bCs/>
      <w:i w:val="0"/>
      <w:iCs w:val="0"/>
      <w:u w:val="none"/>
      <w:strike w:val="0"/>
      <w:smallCaps w:val="0"/>
      <w:sz w:val="26"/>
      <w:szCs w:val="26"/>
      <w:rFonts w:ascii="Times New Roman" w:eastAsia="Times New Roman" w:hAnsi="Times New Roman" w:cs="Times New Roman"/>
    </w:rPr>
  </w:style>
  <w:style w:type="character" w:customStyle="1" w:styleId="CharStyle35">
    <w:name w:val="Основной текст"/>
    <w:basedOn w:val="CharStyle11"/>
    <w:rPr>
      <w:lang w:val="ru-RU" w:eastAsia="ru-RU" w:bidi="ru-RU"/>
      <w:u w:val="single"/>
      <w:w w:val="100"/>
      <w:spacing w:val="0"/>
      <w:color w:val="000000"/>
      <w:position w:val="0"/>
    </w:rPr>
  </w:style>
  <w:style w:type="character" w:customStyle="1" w:styleId="CharStyle36">
    <w:name w:val="Основной текст"/>
    <w:basedOn w:val="CharStyle11"/>
    <w:rPr>
      <w:lang w:val="ru-RU" w:eastAsia="ru-RU" w:bidi="ru-RU"/>
      <w:w w:val="100"/>
      <w:spacing w:val="0"/>
      <w:color w:val="000000"/>
      <w:position w:val="0"/>
    </w:rPr>
  </w:style>
  <w:style w:type="character" w:customStyle="1" w:styleId="CharStyle38">
    <w:name w:val="Основной текст (7)_"/>
    <w:basedOn w:val="DefaultParagraphFont"/>
    <w:link w:val="Style37"/>
    <w:rPr>
      <w:b/>
      <w:bCs/>
      <w:i w:val="0"/>
      <w:iCs w:val="0"/>
      <w:u w:val="none"/>
      <w:strike w:val="0"/>
      <w:smallCaps w:val="0"/>
      <w:sz w:val="20"/>
      <w:szCs w:val="20"/>
      <w:rFonts w:ascii="Times New Roman" w:eastAsia="Times New Roman" w:hAnsi="Times New Roman" w:cs="Times New Roman"/>
    </w:rPr>
  </w:style>
  <w:style w:type="paragraph" w:customStyle="1" w:styleId="Style3">
    <w:name w:val="Колонтитул"/>
    <w:basedOn w:val="Normal"/>
    <w:link w:val="CharStyle4"/>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2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after="18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both"/>
      <w:outlineLvl w:val="0"/>
      <w:spacing w:before="180" w:line="0" w:lineRule="exact"/>
    </w:pPr>
    <w:rPr>
      <w:b w:val="0"/>
      <w:bCs w:val="0"/>
      <w:i w:val="0"/>
      <w:iCs w:val="0"/>
      <w:u w:val="none"/>
      <w:strike w:val="0"/>
      <w:smallCaps w:val="0"/>
      <w:sz w:val="26"/>
      <w:szCs w:val="26"/>
      <w:rFonts w:ascii="Times New Roman" w:eastAsia="Times New Roman" w:hAnsi="Times New Roman" w:cs="Times New Roman"/>
      <w:spacing w:val="10"/>
    </w:rPr>
  </w:style>
  <w:style w:type="paragraph" w:customStyle="1" w:styleId="Style21">
    <w:name w:val="Основной текст (4)"/>
    <w:basedOn w:val="Normal"/>
    <w:link w:val="CharStyle22"/>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3"/>
    </w:rPr>
  </w:style>
  <w:style w:type="paragraph" w:customStyle="1" w:styleId="Style24">
    <w:name w:val="Основной текст (5)"/>
    <w:basedOn w:val="Normal"/>
    <w:link w:val="CharStyle25"/>
    <w:pPr>
      <w:widowControl w:val="0"/>
      <w:shd w:val="clear" w:color="auto" w:fill="FFFFFF"/>
      <w:spacing w:line="0" w:lineRule="exact"/>
    </w:pPr>
    <w:rPr>
      <w:b w:val="0"/>
      <w:bCs w:val="0"/>
      <w:i w:val="0"/>
      <w:iCs w:val="0"/>
      <w:u w:val="none"/>
      <w:strike w:val="0"/>
      <w:smallCaps w:val="0"/>
      <w:sz w:val="34"/>
      <w:szCs w:val="34"/>
      <w:rFonts w:ascii="Arial" w:eastAsia="Arial" w:hAnsi="Arial" w:cs="Arial"/>
      <w:w w:val="150"/>
    </w:rPr>
  </w:style>
  <w:style w:type="paragraph" w:customStyle="1" w:styleId="Style27">
    <w:name w:val="Основной текст (6)"/>
    <w:basedOn w:val="Normal"/>
    <w:link w:val="CharStyle28"/>
    <w:pPr>
      <w:widowControl w:val="0"/>
      <w:shd w:val="clear" w:color="auto" w:fill="FFFFFF"/>
      <w:jc w:val="center"/>
      <w:spacing w:after="1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Штрих-код (2)"/>
    <w:basedOn w:val="Normal"/>
    <w:link w:val="CharStyle3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3">
    <w:name w:val="Заголовок №2"/>
    <w:basedOn w:val="Normal"/>
    <w:link w:val="CharStyle34"/>
    <w:pPr>
      <w:widowControl w:val="0"/>
      <w:shd w:val="clear" w:color="auto" w:fill="FFFFFF"/>
      <w:jc w:val="center"/>
      <w:outlineLvl w:val="1"/>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7">
    <w:name w:val="Основной текст (7)"/>
    <w:basedOn w:val="Normal"/>
    <w:link w:val="CharStyle38"/>
    <w:pPr>
      <w:widowControl w:val="0"/>
      <w:shd w:val="clear" w:color="auto" w:fill="FFFFFF"/>
      <w:spacing w:before="240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