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1pt;height:33pt;">
            <v:imagedata r:id="rId5" r:href="rId6"/>
          </v:shape>
        </w:pict>
      </w:r>
    </w:p>
    <w:p>
      <w:pPr>
        <w:pStyle w:val="Style5"/>
        <w:framePr w:h="66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0" w:right="0" w:firstLine="0"/>
      </w:pPr>
      <w:r>
        <w:rPr>
          <w:rStyle w:val="CharStyle7"/>
        </w:rPr>
        <w:t>V</w:t>
      </w:r>
    </w:p>
    <w:p>
      <w:pPr>
        <w:widowControl w:val="0"/>
        <w:rPr>
          <w:sz w:val="2"/>
          <w:szCs w:val="2"/>
        </w:rPr>
      </w:pPr>
    </w:p>
    <w:p>
      <w:pPr>
        <w:pStyle w:val="Style3"/>
        <w:framePr w:h="245" w:wrap="around" w:hAnchor="margin" w:x="4718" w:y="116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ФКУ «ЦОКР»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06" w:left="1221" w:right="7514" w:bottom="356" w:header="0" w:footer="3" w:gutter="0"/>
          <w:rtlGutter w:val="0"/>
          <w:cols w:space="720"/>
          <w:noEndnote/>
          <w:docGrid w:linePitch="360"/>
        </w:sectPr>
      </w:pPr>
      <w:r>
        <w:rPr>
          <w:rStyle w:val="CharStyle13"/>
          <w:b/>
          <w:bCs/>
        </w:rPr>
        <w:t>ФЕДЕРАЛЬНАЯ АНТИМОНОПОЛЬНАЯ СЛУЖБА</w:t>
      </w:r>
    </w:p>
    <w:p>
      <w:pPr>
        <w:widowControl w:val="0"/>
        <w:spacing w:line="168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170" w:wrap="around" w:vAnchor="text" w:hAnchor="margin" w:x="-3892" w:y="5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5"/>
          <w:b/>
          <w:bCs/>
          <w:spacing w:val="0"/>
        </w:rPr>
        <w:t>УПРАВЛЕ</w:t>
      </w:r>
      <w:r>
        <w:rPr>
          <w:rStyle w:val="CharStyle16"/>
          <w:b/>
          <w:bCs/>
          <w:spacing w:val="0"/>
        </w:rPr>
        <w:t>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1909" w:h="16838"/>
          <w:pgMar w:top="121" w:left="6031" w:right="703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проспект Мира, д. 101, стр. 2, г. Москва,</w:t>
      </w: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0" w:wrap="notBeside" w:hAnchor="margin" w:x="3686" w:y="212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129085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9" w:h="16838"/>
          <w:pgMar w:top="121" w:left="2273" w:right="8355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13"/>
          <w:b/>
          <w:bCs/>
        </w:rPr>
        <w:t>по г. Москве</w:t>
      </w:r>
    </w:p>
    <w:p>
      <w:pPr>
        <w:widowControl w:val="0"/>
        <w:spacing w:line="192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81"/>
        <w:ind w:left="0" w:right="0" w:firstLine="0"/>
      </w:pPr>
      <w:r>
        <w:rPr>
          <w:rStyle w:val="CharStyle20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21"/>
        </w:rPr>
        <w:t>e-mail: to77@,fas.gov.ru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rStyle w:val="CharStyle24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3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«НЦИ»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  <w:sectPr>
          <w:type w:val="continuous"/>
          <w:pgSz w:w="11909" w:h="16838"/>
          <w:pgMar w:top="121" w:left="953" w:right="1193" w:bottom="371" w:header="0" w:footer="3" w:gutter="0"/>
          <w:rtlGutter w:val="0"/>
          <w:cols w:num="2" w:space="720" w:equalWidth="0">
            <w:col w:w="3715" w:space="1358"/>
            <w:col w:w="469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Бережковская набережная, д. 38, стр. 1, г. Москва, 121059</w:t>
      </w:r>
    </w:p>
    <w:p>
      <w:pPr>
        <w:widowControl w:val="0"/>
        <w:spacing w:before="11" w:after="1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framePr w:h="160" w:wrap="around" w:vAnchor="text" w:hAnchor="margin" w:x="1895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26"/>
          <w:spacing w:val="0"/>
        </w:rPr>
        <w:t>от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1909" w:h="16838"/>
          <w:pgMar w:top="121" w:left="761" w:right="10510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29"/>
        </w:rPr>
        <w:t>На№</w:t>
      </w: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0"/>
        <w:framePr w:h="420" w:wrap="around" w:vAnchor="text" w:hAnchor="margin" w:x="-2125" w:y="-81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0" w:right="0" w:firstLine="0"/>
      </w:pPr>
      <w:r>
        <w:rPr>
          <w:rStyle w:val="CharStyle32"/>
          <w:b/>
          <w:bCs/>
        </w:rPr>
        <w:t>Г</w:t>
      </w: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62" w:line="540" w:lineRule="exact"/>
        <w:ind w:left="1680" w:right="0" w:firstLine="0"/>
      </w:pPr>
      <w:r>
        <w:rPr>
          <w:rStyle w:val="CharStyle35"/>
        </w:rPr>
        <w:t>п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9" w:h="16838"/>
          <w:pgMar w:top="121" w:left="2877" w:right="2882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делу №077/06/106-19371/2022 о нарушении законодательства о контрактной системе</w:t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6"/>
        <w:framePr w:h="240" w:wrap="around" w:vAnchor="text" w:hAnchor="margin" w:x="8865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8"/>
          <w:b/>
          <w:bCs/>
          <w:spacing w:val="0"/>
        </w:rPr>
        <w:t>г. Москва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26.12.2022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 Н.С. Лушниковой,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</w:t>
      </w:r>
    </w:p>
    <w:p>
      <w:pPr>
        <w:pStyle w:val="Style3"/>
        <w:tabs>
          <w:tab w:leader="none" w:pos="6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Гугава,</w:t>
      </w:r>
    </w:p>
    <w:p>
      <w:pPr>
        <w:pStyle w:val="Style3"/>
        <w:tabs>
          <w:tab w:leader="none" w:pos="5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ФКУ «ЦОКР»: А.С. Плетнева (по дов.№05-07/669 от 22.12.2021), В.В. Антипова (по дов.№05-07/169 от 19.04.2022), Д.Д. Королькова (по дов.№05-07/170 от 19.04.2022), Д.Л. Волкова (по дов.№05-07/302 от 23.12.2022),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«НЦИ»: И.А. Зубакова (по дов.№94 от 28.06.2021), М.И. Зленко (по дов. №134 от 10.09.2021),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322" w:lineRule="exact"/>
        <w:ind w:left="20" w:right="4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«НЦИ» (далее — Заявитель) на действия ФКУ «ЦОКР» (далее — Заказчик) при проведении открытого конкурса в электронной форме на право заключения государственного контракта на оказание услуг по восстановлению работоспособности оборудования и встроенного системного программного обеспечения Федерального казначейства (Закупка №0895100000122000518)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type w:val="continuous"/>
          <w:pgSz w:w="11909" w:h="16838"/>
          <w:pgMar w:top="121" w:left="727" w:right="972" w:bottom="371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001571953616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41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УСТАНОВЛЕНО: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рассмотрения жалобы, рассмотрев представленные документы и сведения, запрашиваемые письмом Московского УФАС России от 21.12.2022 №ЕИ/64909/22, Комиссия Управления установила следующее.</w:t>
      </w:r>
    </w:p>
    <w:p>
      <w:pPr>
        <w:pStyle w:val="Style3"/>
        <w:numPr>
          <w:ilvl w:val="0"/>
          <w:numId w:val="1"/>
        </w:numPr>
        <w:tabs>
          <w:tab w:leader="none" w:pos="11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составе жалобы Заявитель указывает на нарушения Заказчиком положений Закона о контрактной системе при составлении протокола подведения итогов определения поставщика (подрядчика, исполнителя) от 14.12.2022 №ИЭОК1, поскольку, по мнению Заявителя, из указанного протокола не представляется возможным определить почему некоторые данные заявок Победителя конкурса и Заявителя произвольно были использованы или не использованы комиссией об осуществлении закупок при рассмотрении и оценке вторых частей заявок, какие математические значения (количественные характеристики) были использованы в формулах, используемых при вычислении оценок заявок Победителя конкурса и Заявителя с такими рейтингами, как указано в Протоколе оценки для упомянутых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17 ст. 48 Закона о контрактной системе протокол подведения итогов определения поставщика (подрядчика, исполнителя) должен содержать следующую информацию: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дату подведения итогов определения поставщика (подрядчика, исполнителя), идентификационные номера заявок на участие в закупке;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настоящим Федеральным законом, с обоснованием такого решения и указанием положений настоящего Федерального закона, извещения об осуществлении закупки, которым не соответствует такая заявка, положений заявки на участие в закупке, которые не соответствуют извещению об осуществлении закупки;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присвоенные заявкам на участие в закупке, первые и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порядковые номера, присвоенные в соответствии с настоящим Федеральным законом заявкам на участие в закупке;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заключении контракта по цене, увеличенной в соответствии со статьями 28 и 29 Закона о контрактной системе;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члена комиссии по осуществлению закупок в отношении каждой заявки на участие в закупке;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признании определения поставщика (подрядчика, исполнителя) несостоявшимся в случаях, предусмотренных пунктами 1 - 4 части 1 статьи 52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итоговый протокол формируется посредством ЭТП автоматически, после того как Заказчиком введены все допущенные к учету значения характеристик по каждому детализирующему показателю, кроме того опубликованный Заказчиком протокол содержит весь исчерпывающий перечень информации предусмотренный ст. 48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отмечает, что на заседании Комиссии Управления представитель Заявителя затруднился пояснить какое именно требование к содержанию протокола нарушено Заказчиком при размещении протокола подведения итогов определения поставщика (подрядчика, исполнителя) от</w:t>
      </w:r>
    </w:p>
    <w:p>
      <w:pPr>
        <w:pStyle w:val="Style3"/>
        <w:numPr>
          <w:ilvl w:val="0"/>
          <w:numId w:val="5"/>
        </w:numPr>
        <w:tabs>
          <w:tab w:leader="none" w:pos="138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№ИЭОК1 в Единой информационной системе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3"/>
        <w:numPr>
          <w:ilvl w:val="0"/>
          <w:numId w:val="1"/>
        </w:numPr>
        <w:tabs>
          <w:tab w:leader="none" w:pos="10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комиссией об осуществлении закупок Заказчика нарушен порядок оценки заявки участника закупки ООО «РТК ЦИФРОВЫЕ ТЕХНОЛОГИИ» (идентификационный номер заявки 4)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Комиссией Управления проводится проверка действий комиссии об осуществлении закупок Заказчика в части применения установленного порядка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оценки заявок на участие в конкурсе.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цена контракта;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расходы на эксплуатацию и ремонт товаров, использование результатов работ;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конкурсной документацией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ст.24 Закона о контрактной системе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Законом о контрактной системе предусмотрена документация о закупке)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наличие у участников закупки финансовых ресурсов;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г) наличие у участников закупки деловой репутации;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д) наличие у участников закупки специалистов и иных работников определенного уровня квалификации.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п.25 Положения для оценки заявок по показателям оценки, предусмотренным пунктом 24 настоящего Положения, применяются детализирующие показатели.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«а» п.28 Положения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общая цена исполненных участником закупки договоров;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общее количество исполненных участником закупки договоров;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наибольшая цена одного из исполненных участником закупки договоров.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определено, что согласно извещения о проведении открытого конкурса в электронной форме от 25.11.2022 №0895100000122000518 Заказчиком установлен, в том числе следующий порядок оценки заявок по показателю «Наличие у участников закупки опыта работы, связанного с предметом контракта»:</w:t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</w:r>
      <w:r>
        <w:rPr>
          <w:rStyle w:val="CharStyle45"/>
          <w:i/>
          <w:iCs/>
        </w:rPr>
        <w:t>1. Общее количество исполненных участником закупки договоров (БХН):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Оценивается общее количество предоставленных участником исполненных контрактов (договоров) на оказание услуг сопоставимого характера.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услугами сопоставимого характера понимается оказание услуг в области восстановления работоспособности оборудования и встроенного системного программного обеспечения.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договоры/контракты, по которым последний акт, составленный при исполнении договора/контракта должен быть подписан не ранее чем за 5 лет до даты окончания срока подачи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договоры/контракты, при исполнении которых поставщиком (подрядчиком, исполнителем) исполнены требования об уплате неустоек (штрафов, пеней) (в случае их начисления).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Должны быть представлены копии контрактов/договоров с указанием номера, названия заказчика, сроков выполнения, описания выполненных работ/оказанных услуг, стоимости, а также копии документов, подтверждающих исполнение контрактов/договоров в полном объеме (копии контрактов/договоров, акты выполненных работ или заключений, решения заказчиков по приемке выполненных работ/оказанных услуг).</w:t>
      </w:r>
    </w:p>
    <w:p>
      <w:pPr>
        <w:pStyle w:val="Style43"/>
        <w:numPr>
          <w:ilvl w:val="0"/>
          <w:numId w:val="9"/>
        </w:numPr>
        <w:tabs>
          <w:tab w:leader="none" w:pos="1033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rStyle w:val="CharStyle45"/>
          <w:i/>
          <w:iCs/>
        </w:rPr>
        <w:t>Общая цена исполненных участником закупки договоров (БХ20: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Оценивается общая цена предоставленных участником исполненных контрактов (договоров) на оказание услуг сопоставимого характера, исчисляемая в рублях.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услугами сопоставимого характера понимается оказание услуг в области восстановления работоспособности оборудования и встроенного системного программного обеспечения.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договоры/контракты, по которым последний акт, составленный при исполнении договора/контракта должен быть подписан не ранее чем за 5 лет до даты окончания срока подачи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договоры/контракты, при исполнении которых поставщиком (подрядчиком, исполнителем) исполнены требования об уплате неустоек (штрафов, пеней) (в случае их начисления).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Должны быть представлены копии контрактов/договоров с указанием номера, названия заказчика, сроков выполнения, описания выполненных работ/оказанных услуг, стоимости, а также копии документов, подтверждающих исполнение контрактов/договоров в полном объеме (копии контрактов/договоров, акты выполненных работ или заключений, решения заказчиков по приемке выполненных работ/оказанных услуг).</w:t>
      </w:r>
    </w:p>
    <w:p>
      <w:pPr>
        <w:pStyle w:val="Style4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45"/>
          <w:i/>
          <w:iCs/>
        </w:rPr>
        <w:t>3. Наибольшая цена одного из исполненных участником закупки договоров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45"/>
          <w:i/>
          <w:iCs/>
        </w:rPr>
        <w:t>(БХ31):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Оценивается предоставленный участником исполненный контракт (договор) на оказание услуг сопоставимого характера с наибольшей ценой, исчисляемый в рублях.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услугами сопоставимого характера понимается оказание услуг в области восстановления работоспособности оборудования и встроенного системного программного обеспечения.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договоры/контракты, по которым последний акт, составленный при исполнении договора/контракта должен быть подписан не ранее чем за 5 лет до даты окончания срока подачи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оценке принимаются исполненные договоры/контракты, при исполнении которых поставщиком (подрядчиком, исполнителем) исполнены требования об уплате неустоек (штрафов, пеней) (в случае их начисления).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Должны быть представлены копии контрактов/договоров с указанием номера, названия заказчика, сроков выполнения, описания выполненных работ/оказанных услуг, стоимости, а также копии документов, подтверждающих исполнение контрактов/договоров в полном объеме (копии контрактов/договоров, акты выполненных работ или заключений, решения заказчиков по приемке выполненных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работ/оказанных услуг)».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Заявителя пояснил, что по показателю «Наличие у участников закупки опыта работы, связанного с предметом контракта» Победителю конкурса присужден максимальный балл из всех представленных заявок, однако, по мнению Заявителя, анализ данных, доступных в Единой информационной системе, по количеству предметам и условиям контрактов, исполненных победителем, не позволяет сделать вывод о наличии у него такого опыта, позволившего получить такие результаты оценки по показателю «Наличие у участников закупки опыта поставки товара, выполнения работы, оказания услуги, связанного с предметом контракта», которые отражены в Протоколе подведения итогов определения поставщика (подрядчика, исполнителя).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частности, большинство контрактов заключены на поставку товаров, что указывает на то, что оказание услуг, связанных с предметом обжалуемой закупки, не является основной деятельностью ООО «РТК ЦИФРОВЫЕ ТЕХНОЛОГИИ».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не согласился с указанным доводом жалобы, ввиду чего пояснил, что по обжалуемому показателю Заказчиком присваивается максимальное значение при представлении всех документов, подтверждающих квалификацию организации в части наличия опыта сопоставимого характера.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 результатам рассмотрения заявки ООО «РТК ЦИФРОВЫЕ ТЕХНОЛОГИИ» комиссией об осуществлении закупок Заказчика было установлено, что в качестве подтверждения опыта названным обществом был приложен в составе заявки 21 контракт на общую сумму 3 234 359 418,34 руб., которые полностью соответствуют установленному порядку оценки.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указанного общества полностью соответствует предъявляемым в критериях оценки требованиям, в связи с чем, по мнению Заказчика, заявление Заявителя о несоответствии предложения Победителя по показателю «Наличие у участников закупки опыта работы, связанного с предметом контракта» является несостоятельным.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на заседании Комиссии Управления, а также в составе жалобы Заявителем не предоставлены документы и сведения, свидетельствующие о нарушении комиссией об осуществлении закупок Заказчика норм Закона о контрактной системе и несоблюдении комиссией об осуществлении закупок Заказчика установленного порядка оценки при рассмотрении заявки ООО «РТК ЦИФРОВЫЕ ТЕХНОЛОГИИ» по показателю «Наличие у участников закупки опыта работы, связанного с предметом контракта».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 основании вышеизложенного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3"/>
        <w:numPr>
          <w:ilvl w:val="0"/>
          <w:numId w:val="9"/>
        </w:numPr>
        <w:tabs>
          <w:tab w:leader="none" w:pos="109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по мнению Заявителя, комиссией об осуществлении 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 нарушен порядок оценки заявки Заявителя по показателю «Наличие у участников закупки опыта работы,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обоснование своей позиции Заявитель указывает, что в рамках подтверждения опыта оказания аналогичных услуг, ООО «НЦИ» представило на рассмотрение комиссии 49 исполненных контрактов на общую сумму 4 025 253 878,97 руб., в соответствии с указанными требованиями извещения об осуществлении закупки, Заявителем в полном объеме были предоставлены необходимые сведения об имеющемся опыте оказания аналогичных услуг, однако, в опубликованном Итоговом протоколе приведена информация об обратном, не соответствующая действительности, т.е. фактическому содержанию заявки ООО «НЦИ».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полученной информации, комиссией об осуществлении закупки принято к оценке 5 контрактов на общую сумму 1 336 137 263,43 руб., что, по мнению Заявителя, является незаконным, поскольку все представленные Заявителем контракты соответствуют установленному порядку оценки.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в рамках подтверждения опыта оказания услуг сопоставимого характера Заявитель представил в составе вторых частей заявки на участие в открытом конкурсе 49 исполненных контрактов/договоров на общую сумму 4 025 253 878,97 руб., при этом 44 контракта/договора не являются услугами (работами) сопоставимого характера по восстановлению работоспособности оборудования и встроенного системного программного обеспечения, а именно: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оказание услуг по обеспечению эксплуатации технологических процессов функциональных подсистем АИС ПФР-2 - 14 контрактов/договоров;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выполнение работ по технической поддержке государственной информационной системы обязательного медицинского страхования - 3 контракта/договора;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оказание услуг по эксплуатации (работ по развитию) подсистем единой государственной информационной системы в сфере здравоохранения (ЕГИСЗ) - 23 контрактов/договоров;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техническое обслуживание модулей программного обеспечения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Siemens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- 3 контракта/договора;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поставка программно-аппаратного комплекса обработки данных и выполнение работ по монтажу и вводу его в эксплуатацию - 1 контракт/договор (не был принят к учету, в связи с отсутствием приложенного акта по оплате работ по установке оборудования).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результате анализа представленных Заявителем контрактов/договоров комиссией было принято к оценке 5 контрактов/договоров по услугам сопоставимого характера по восстановлению работоспособности оборудования и встроенного системного программного обеспечения Федерального казначейства, удовлетворяющих требованиям пункта 3.1 «Общие требования к оказанию Услуг» раздела 2 «Требования к оказанию услуг» описания объекта закупки, кроме того одним из принятых договоров был договор №Аэ_1_0000079_2019 от 17.12.2019 на приобретение сегмента ИТ- инфраструктуры на базе российских технологий для Московской типографии Гознака, в связи с наличием оплаченных работ по установке и настройке оборудования.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обстоятельствами дела Комиссией Управления был объявлен перерыв в рассмотрении жалобы до 26.12.2022.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после объявленного перерыва в рассмотрении жалобы Заявителем была представлена сводная таблица контрактов/договоров, которые были приложены в качестве подтверждения запрашиваемого опыта, с указанием положений технического задания указывающие на то, что в рамках неприятных контрактов оказывались услуги в области восстановления работоспособности оборудования и встроенного системного программного обеспечения.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например, в рамках контракта № ГК № 20-034-Д от 01.02.2019 обеспечивалась работоспособность подсистемы «Инфраструктурное обеспечение» автоматизированной информационной системы Пенсионного фонда Российской Федерации нового поколения (АИС ПФР-2), оказывались услуги по изменению настроек (конфигурации), направленные на восстановление работоспособности ПО и обеспечения соответствия эксплуатационной документации (при ее наличии), оказываются Исполнителем по согласованию с Заказчиком.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контракту №1155929 от 07.02.2019 Заявитель обеспечивал работоспособность электронных сервисов в Личном кабинете пациента «Мое здоровье» размещенных на ЕПГУ, в части обработки и предоставления сведений.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контракту №17707778246190002300/РТ/199-21923 от 31.07.2019 осуществлял устранение выявленных ошибок в прикладном ПО подсистем ЕГИСЗ, устранение причин инцидентов, связанных с эксплуатацией Пользователями подсистем ЕГИСЗ.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не согласившись с пояснениями Заявителя, представитель Заказчика отметил, что указанные действия осуществляемые Заявителем в рамках вышеуказанных контрактом некоим образом не сопоставимы с оказанием услуг в области восстановления работоспособности оборудования и встроенного системного программного обеспечения, ввиду следующего.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в рамках контракта № ГК № 20-034-Д от 01.02.2019 Заявителем оказывались следующие услуги:</w:t>
      </w:r>
    </w:p>
    <w:p>
      <w:pPr>
        <w:pStyle w:val="Style3"/>
        <w:numPr>
          <w:ilvl w:val="0"/>
          <w:numId w:val="13"/>
        </w:numPr>
        <w:tabs>
          <w:tab w:leader="none" w:pos="101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Консультирование Исполнителем при восстановлении работоспособности и установке обновлений ПО должно включать себя:</w:t>
      </w:r>
    </w:p>
    <w:p>
      <w:pPr>
        <w:pStyle w:val="Style3"/>
        <w:numPr>
          <w:ilvl w:val="0"/>
          <w:numId w:val="11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рекомендации по процессу установки обновлений ПО в объеме эксплуатационной документации;</w:t>
      </w:r>
    </w:p>
    <w:p>
      <w:pPr>
        <w:pStyle w:val="Style3"/>
        <w:numPr>
          <w:ilvl w:val="0"/>
          <w:numId w:val="11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принятии Заказчиком решения об установке патча Исполнитель должен произвести тестирование работоспособности и совместимости ПО с установленным патчем в Среде разработки моделирующего стенда АИС ПФР-2 с предоставлением отчета о работоспособности ПО с установленным патчем с требуемыми подсистемами АИС ПФР-2;</w:t>
      </w:r>
    </w:p>
    <w:p>
      <w:pPr>
        <w:pStyle w:val="Style3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работы по установке и настройке ПО ( включая установку патчей, программные коррекции, а также все изменения, производимые в рамках текущей версии ПО);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технические консультации, охватывающие технические вопросы по восстановлению работоспособности ПО, проведению диагностики после сбоев;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возможности использования технических специалистов поддержки ПО;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Консультация должна быть оказана не позднее 3 рабочих дней с момента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создания Заявки.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Работы по критически важным проблемам (сбой работоспособности ПО, требуется немедленное решение) должны быть произведены в течение 4 часов после регистрации Заявки в режиме 24х7.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Консультирование при эксплуатации ПО: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рекомендации по настройке ПО в объеме эксплуатационной документации;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рекомендации по устранению ошибок, возникающих в процессе эксплуатации, поиск и устранение причин, вызвавших сбой в работе;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диагностику с целью установления факта ошибки в работе ПО. Выявленная ошибка, в зависимости от сложности, должна устраняться в процессе диагностики или в последующих обновлениях ПО.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предоставляет Исполнителю информацию, достаточную для того, чтобы воспроизвести данную проблему на основании копии ПО, и включающую в себя подробное описание проблемы: регистрационные файлы, дампы оперативной памяти, лог-файлы, файлы настроек и пр. Полный список дополнительной информации, необходимой для воспроизведения и анализа проблемы, должен уточняться при обращении в АСТП Заказчика.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Консультация по эксплуатации ПО должна быть оказана не позднее 5 рабочих дней с момента обращения.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Обновление ПО: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должен предоставлять обновления (программные коррекции), а также все изменения, производимые в рамках текущей версии ПО.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Обновления (программные коррекции) текущей версии ПО, должны предоставляться Заказчику в течение всего срока оказания услуги по сопровождению по мере их выпуска Производителем. Критичные обновления (программные коррекции) текущей версии ПО должны предоставляться на электронном носителе Заказчику не позднее 5 рабочих дней после выхода таких обновлений с предоставлением ссылки на официальную информацию Производителя. Прочие обновления (программные коррекции) предоставляются на электронном носителе по требованию Заказчика в течение 10 рабочих дней.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Предоставление доступа к онлайн ресурсам по сопровождению ПО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должен предоставить Заказчику доступ к следующим онлайн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ресурсам: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Портал Поддержки ПО, предоставляющего следующие возможности: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Открытие/Просмотр/Обновление запросов на обслуживание/ Доступ к Базам Знаний об известных проблемах и т.д.</w:t>
      </w:r>
    </w:p>
    <w:p>
      <w:pPr>
        <w:pStyle w:val="Style3"/>
        <w:numPr>
          <w:ilvl w:val="0"/>
          <w:numId w:val="11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 скачивать из личного кабинета на Портале обновления,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драйверы, коррекции кода и т.д.</w:t>
      </w:r>
    </w:p>
    <w:p>
      <w:pPr>
        <w:pStyle w:val="Style3"/>
        <w:numPr>
          <w:ilvl w:val="0"/>
          <w:numId w:val="11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 том, как получить обычную и расширенную техническую поддержку.</w:t>
      </w:r>
    </w:p>
    <w:p>
      <w:pPr>
        <w:pStyle w:val="Style3"/>
        <w:numPr>
          <w:ilvl w:val="0"/>
          <w:numId w:val="11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Ссылки на обучение.</w:t>
      </w:r>
    </w:p>
    <w:p>
      <w:pPr>
        <w:pStyle w:val="Style3"/>
        <w:numPr>
          <w:ilvl w:val="0"/>
          <w:numId w:val="11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Маркетинговая информация: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Product Overviews, Newsletters, RedBooks, White Papers, Announcement Letters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другие.</w:t>
      </w:r>
    </w:p>
    <w:p>
      <w:pPr>
        <w:pStyle w:val="Style3"/>
        <w:numPr>
          <w:ilvl w:val="0"/>
          <w:numId w:val="11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Ссылки на инструкции по пользованию Порталом.</w:t>
      </w:r>
    </w:p>
    <w:p>
      <w:pPr>
        <w:pStyle w:val="Style3"/>
        <w:numPr>
          <w:ilvl w:val="0"/>
          <w:numId w:val="11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 создания персонализированной страницы, позволяющей просматривать только предварительно выбранную информацию.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Возможность регистрации технических специалистов Заказчика для получения доступа к ресурсам Портала Поддержки.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все работы по указанному контракту относились исключительно к программному обеспечению, при этом работы по ремонту оборудования отсутствуют.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Относительно контракта №1155929 от 07.02.2019 Заказчик пояснил следующее: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рамках работ по Контракту Исполнитель должен обеспечить: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Поддержку жизненного цикла программных средств ГИС ОМС согласно ГОСТ Р ИСО/МЭК 12207-2010 «Информационная технология. Системная и программная инженерия. Процессы жизненного цикла программных средств».</w:t>
      </w:r>
    </w:p>
    <w:p>
      <w:pPr>
        <w:pStyle w:val="Style3"/>
        <w:numPr>
          <w:ilvl w:val="0"/>
          <w:numId w:val="15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Режим бесперебойной работы ПО ГИС ОМС 24 часа в сутки и 7 дней в неделю.</w:t>
      </w:r>
    </w:p>
    <w:p>
      <w:pPr>
        <w:pStyle w:val="Style3"/>
        <w:numPr>
          <w:ilvl w:val="0"/>
          <w:numId w:val="15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Обеспечить функционирование системного программного обеспечения, состав и предъявляемые требования к нему обусловлены перечнем системного программного обеспечения, используемого в подсистемах ГИС ОМС, перечисленных в п.3.</w:t>
      </w:r>
    </w:p>
    <w:p>
      <w:pPr>
        <w:pStyle w:val="Style3"/>
        <w:numPr>
          <w:ilvl w:val="0"/>
          <w:numId w:val="15"/>
        </w:numPr>
        <w:tabs>
          <w:tab w:leader="none" w:pos="136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Устранение ошибок в ПО, выявленных в период эксплуатации, в соответствии с графиком предоставления услуг технической поддержки, указанным в таблице 12 (степень критичности ошибок указана в таблице 13). Ошибкой ПО должно признаваться невыполнение программными продуктами функциональных операций, предусмотренных технической документацией на подсистемы ГИС ОМС.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Техническую поддержку пользователей подсистем ГИС ОМС, с возможностью регистрации двух типов заявок пользователей с определением их типа и критичности (далее - Заявка):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запрос на поддержку - обращение пользователя, связанное с запросом информации (консультация, предоставление документации) или с требованием выполнения работ, включенных в объем технической поддержки;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инцидент - обращение пользователя или событие в ИТ-инфраструктуре, связанное с некорректным функционированием системы, находящейся на поддержке (сбой в работе, несоответствие исходным функциональным требованиям, снижение производительности).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Возможность использования любого из следующих каналов поступления запросов: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 портале самообслуживания системы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HelpDesk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Исполнитель должен обеспечить доступ к системе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HelpDesk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уполномоченных лиц Заказчика и предоставить инструкцию по ее использованию не позже 2 рабочих дней с даты заключения Контракта. Прием запросов через портал самообслуживания должен осуществляться 24 часа в сутки 7 дней в неделю;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электронное письмо в адрес Службы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ServiceDesk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Исполнителя. Прием запросов по электронной почте должен осуществляться 24 часа в сутки 7 дней в неделю;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обращение в адрес Службы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ServiceDesk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Исполнителя по телефону. Прием запросов должен осуществляться с 9-00 до 20-00 (время московское) в течение 5 дней в неделю, кроме выходных и праздничных дней*.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установленным в РФ производственным календарем на 2019 год при пятидневной рабочей неделе.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Устранение аварийных ситуаций (в том числе восстановление ГИС ОМС из резервных копий). Время устранения аварийной ситуации, связанной с необходимостью полного или частичного восстановления информации, утраченной в результате сбоев и отказов ГИС ОМС, из резервных копий, не должно превышать 12 часов с момента поступления Заявки.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Диагностику и принятие технических и организационных мер по профилактике и устранению сбоев ГИС ОМС. ГИС ОМС должна регулярно диагностироваться Исполнителем путем: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мониторинга доступности Подсистем ГИС ОМС;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анализа журналов событий всех подсистем ГИС ОМС.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Подготовку рекомендаций и предложений по изменению эксплуатационной документации, связанных с возможным изменением функциональных характеристик ГИС ОМС в течение срока действия Контракта.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Участие (в части уточнения и формализации требований Заказчика) в процессах разработки, рассмотрения частных технических заданий и регламентов, разрабатываемых в рамках планируемого выполнения работ по развитию ГИС ОМС в 2019 году.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Проектирование входных и выходных отчетных форм в подсистемах ЕИССОИ, УСОИ по шаблонам, определенным Заказчиком на этапе формирования Заявки.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Техническую поддержку пользователей ГИС ОМС в части подготовки, изменения и настройки шаблонов для формирования регулярной отчетности, а также в части подготовки загрузки и выгрузки сведений из БД ГИС ОМС по параметрам, определенным Заказчиком.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Техническую поддержку пользователей ГИС ОМС в части формирования нештатной отчетности по запросам и критериям, определенным Заказчиком.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Техническую поддержку пользователей ГИС ОМС, предусматривающую изменение справочников, классификаторов и реестров в сфере ОМС, а также настройку форматно - логических проверок, используемых в подсистемах ГИС ОМС, для обеспечения реализации изменений нормативно - правовых актов системы ОМС.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Обеспечение по запросу Заказчика обработки сведений, необходимых для формирования рейтинга терапевтов, включая: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импорт сведений в БД ГИС ОМС;</w:t>
      </w:r>
    </w:p>
    <w:p>
      <w:pPr>
        <w:pStyle w:val="Style3"/>
        <w:numPr>
          <w:ilvl w:val="0"/>
          <w:numId w:val="1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обработку сведений в БД ГИС ОМС;</w:t>
      </w:r>
    </w:p>
    <w:p>
      <w:pPr>
        <w:pStyle w:val="Style3"/>
        <w:numPr>
          <w:ilvl w:val="0"/>
          <w:numId w:val="1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обмен сведениями между подсистемами ГИС ОМС;</w:t>
      </w:r>
    </w:p>
    <w:p>
      <w:pPr>
        <w:pStyle w:val="Style3"/>
        <w:numPr>
          <w:ilvl w:val="0"/>
          <w:numId w:val="1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формирование выходных отчетных форм.</w:t>
      </w:r>
    </w:p>
    <w:p>
      <w:pPr>
        <w:pStyle w:val="Style3"/>
        <w:numPr>
          <w:ilvl w:val="0"/>
          <w:numId w:val="15"/>
        </w:numPr>
        <w:tabs>
          <w:tab w:leader="none" w:pos="1358" w:val="left"/>
          <w:tab w:leader="none" w:pos="7353" w:val="center"/>
          <w:tab w:leader="none" w:pos="10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Обеспечение по запросу Заказчика обработки</w:t>
        <w:tab/>
        <w:t>в</w:t>
        <w:tab/>
        <w:t>ГИС ОМС сведений,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поступающих от ФНС в соответствии с Федеральным законом от 29 ноября 2010 г. № 326-ФЗ и Соглашением об информационном взаимодействии Федеральной налоговой службы и Федерального фонда обязательного медицинского страхования от 30 ноября 2016 года №ММВ-23-11/28@/11-91-2016, включая: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загрузку сведений ФНС в БД ГИС ОМС с применением правил форматно</w:t>
        <w:softHyphen/>
        <w:t>логического контроля, определенных Протоколом информационного обмена между ФОМС и ФНС;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выполнения сверки сведений ФНС с данными ЕРЗ по критериям, определенным Заказчиком;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формирования протоколов сверки, выгрузок и отчетности по параметрам, определенным Заказчиком.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Обеспечение работоспособности электронных сервисов в Личном кабинете пациента «Мое здоровье» размещенных на ЕПГУ, в части обработки и предоставления следующих сведений: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определение соответствия единого номера полиса ОМС фамилии, имени, отчества и дате рождения;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предоставление по единому номеру полиса ОМС наименования страховой медицинской организации и территории страхования (субъект РФ);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предоставление по единому номеру полиса ОМС сведений о субъекте Российской Федерации, в котором застрахован гражданин в указанный период времени;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предоставление по единому номеру полиса ОМС наименования медицинской организации и адреса места нахождения медицинской организации (юридическое лицо), к которой прикреплено застрахованное лицо;</w:t>
      </w:r>
    </w:p>
    <w:p>
      <w:pPr>
        <w:pStyle w:val="Style3"/>
        <w:numPr>
          <w:ilvl w:val="0"/>
          <w:numId w:val="1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предоставление сведений о едином номере полиса ОМС и страховой принадлежности застрахованного лица, являющегося гражданином Российской Федерации.</w:t>
      </w:r>
    </w:p>
    <w:p>
      <w:pPr>
        <w:pStyle w:val="Style3"/>
        <w:numPr>
          <w:ilvl w:val="0"/>
          <w:numId w:val="1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Выполнение регламентных работ, в том числе обслуживание баз данных ГИС ОМС, включая мониторинг создания резервных копий в соответствии с порядком архивного хранения.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указанному контракту также отсутствуют работы по ремонту оборудования.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Аналогично по остальным неприятным контрактам, в них также отсутствуют работы по ремонту оборудования, в связи с чем не были приняты к оценке комиссией об осуществлении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доказательств обратного на заседании Комиссии Управления представителем Заявителем не представлено.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 Комиссия Управления также считает необходимым отметить, что по 8 контрактам Заявителем не даны никакие пояснения (п.17, 28, 33, 36, 37, 43, 44, 45 сводного перечня), что фактически указывает на то, что Заявитель согласен с решением комиссии об осуществлении закупки в части непринятия указанных контрактов к оценке.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на заседании Комиссии Управления представителем Заявителя не предоставлены документы и сведения, свидетельствующие о нарушении комиссией об осуществлении закупок Заказчика норм Закона о контрактной системе и несоблюдении комиссией об осуществлении закупок Заказчика установленного в порядка оценки при рассмотрении заявки Заявителя по показателю «Наличие у участников закупки опыта работы, связанного с предметом контракта».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на основании вышеизложенного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41"/>
        <w:widowControl w:val="0"/>
        <w:keepNext/>
        <w:keepLines/>
        <w:shd w:val="clear" w:color="auto" w:fill="auto"/>
        <w:bidi w:val="0"/>
        <w:jc w:val="center"/>
        <w:spacing w:before="0" w:after="299" w:line="260" w:lineRule="exact"/>
        <w:ind w:left="20" w:right="0" w:firstLine="0"/>
      </w:pPr>
      <w:bookmarkStart w:id="1" w:name="bookmark1"/>
      <w:r>
        <w:rPr>
          <w:rStyle w:val="CharStyle46"/>
          <w:b/>
          <w:bCs/>
        </w:rPr>
        <w:t>РЕШИЛА:</w:t>
      </w:r>
      <w:bookmarkEnd w:id="1"/>
    </w:p>
    <w:p>
      <w:pPr>
        <w:pStyle w:val="Style3"/>
        <w:numPr>
          <w:ilvl w:val="0"/>
          <w:numId w:val="19"/>
        </w:numPr>
        <w:tabs>
          <w:tab w:leader="none" w:pos="13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«НЦИ» на действия комиссии об осуществлении закупок ФКУ «ЦОКР» необоснованной.</w:t>
      </w:r>
    </w:p>
    <w:p>
      <w:pPr>
        <w:pStyle w:val="Style3"/>
        <w:numPr>
          <w:ilvl w:val="0"/>
          <w:numId w:val="19"/>
        </w:numPr>
        <w:tabs>
          <w:tab w:leader="none" w:pos="133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Снять ограничения, наложенные на определение поставщика (подрядчика, исполнителя) письмом Московского УФАС России от 21.12.2022 №ЕИ/64909/22.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87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 Сомов</w:t>
      </w:r>
    </w:p>
    <w:p>
      <w:pPr>
        <w:pStyle w:val="Style3"/>
        <w:tabs>
          <w:tab w:leader="none" w:pos="8736" w:val="right"/>
          <w:tab w:leader="none" w:pos="101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Н.С.</w:t>
        <w:tab/>
        <w:t>Лушникова</w:t>
      </w:r>
    </w:p>
    <w:p>
      <w:pPr>
        <w:pStyle w:val="Style3"/>
        <w:tabs>
          <w:tab w:leader="none" w:pos="947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31" w:line="643" w:lineRule="exact"/>
        <w:ind w:left="8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Э.З.</w:t>
        <w:tab/>
        <w:t>Гугава</w:t>
      </w:r>
    </w:p>
    <w:p>
      <w:pPr>
        <w:pStyle w:val="Style4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8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Исп.Лушникова Н.С. тел.8 (495)784-75-05</w:t>
      </w:r>
    </w:p>
    <w:sectPr>
      <w:pgSz w:w="11909" w:h="16838"/>
      <w:pgMar w:top="1259" w:left="856" w:right="843" w:bottom="1129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65pt;margin-top:795.4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0"/>
                  </w:rPr>
                  <w:t>2022-72597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36.85pt;margin-top:806.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10"/>
                  </w:rPr>
                  <w:t>2022-72597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3.95pt;margin-top:38.15pt;width:10.1pt;height:7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8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0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2"/>
      <w:numFmt w:val="decimal"/>
      <w:lvlText w:val="14.1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3"/>
    </w:rPr>
  </w:style>
  <w:style w:type="character" w:customStyle="1" w:styleId="CharStyle6">
    <w:name w:val="Подпись к картинке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1"/>
      <w:szCs w:val="11"/>
      <w:rFonts w:ascii="Segoe UI" w:eastAsia="Segoe UI" w:hAnsi="Segoe UI" w:cs="Segoe UI"/>
      <w:w w:val="200"/>
    </w:rPr>
  </w:style>
  <w:style w:type="character" w:customStyle="1" w:styleId="CharStyle7">
    <w:name w:val="Подпись к картинке"/>
    <w:basedOn w:val="CharStyle6"/>
    <w:rPr>
      <w:lang w:val="ru-RU" w:eastAsia="ru-RU" w:bidi="ru-RU"/>
      <w:spacing w:val="0"/>
      <w:color w:val="000000"/>
      <w:position w:val="0"/>
    </w:rPr>
  </w:style>
  <w:style w:type="character" w:customStyle="1" w:styleId="CharStyle9">
    <w:name w:val="Колонтитул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character" w:customStyle="1" w:styleId="CharStyle10">
    <w:name w:val="Колонтитул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3">
    <w:name w:val="Основной текст (2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15">
    <w:name w:val="Основной текст (2) Exact"/>
    <w:basedOn w:val="CharStyle12"/>
    <w:rPr>
      <w:lang w:val="ru-RU" w:eastAsia="ru-RU" w:bidi="ru-RU"/>
      <w:sz w:val="17"/>
      <w:szCs w:val="17"/>
      <w:w w:val="100"/>
      <w:spacing w:val="2"/>
      <w:color w:val="000000"/>
      <w:position w:val="0"/>
    </w:rPr>
  </w:style>
  <w:style w:type="character" w:customStyle="1" w:styleId="CharStyle16">
    <w:name w:val="Основной текст (2) Exact"/>
    <w:basedOn w:val="CharStyle12"/>
    <w:rPr>
      <w:lang w:val="ru-RU" w:eastAsia="ru-RU" w:bidi="ru-RU"/>
      <w:u w:val="single"/>
      <w:sz w:val="17"/>
      <w:szCs w:val="17"/>
      <w:w w:val="100"/>
      <w:spacing w:val="2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(3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0">
    <w:name w:val="Основной текст (3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3)"/>
    <w:basedOn w:val="CharStyle19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3">
    <w:name w:val="Основной текст (4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24">
    <w:name w:val="Основной текст (4)"/>
    <w:basedOn w:val="CharStyle2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"/>
    </w:rPr>
  </w:style>
  <w:style w:type="character" w:customStyle="1" w:styleId="CharStyle26">
    <w:name w:val="Основной текст (3) Exact"/>
    <w:basedOn w:val="CharStyle19"/>
    <w:rPr>
      <w:lang w:val="ru-RU" w:eastAsia="ru-RU" w:bidi="ru-RU"/>
      <w:sz w:val="16"/>
      <w:szCs w:val="16"/>
      <w:w w:val="100"/>
      <w:spacing w:val="3"/>
      <w:color w:val="000000"/>
      <w:position w:val="0"/>
    </w:rPr>
  </w:style>
  <w:style w:type="character" w:customStyle="1" w:styleId="CharStyle28">
    <w:name w:val="Основной текст (5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character" w:customStyle="1" w:styleId="CharStyle29">
    <w:name w:val="Основной текст (5)"/>
    <w:basedOn w:val="CharStyle28"/>
    <w:rPr>
      <w:lang w:val="ru-RU" w:eastAsia="ru-RU" w:bidi="ru-RU"/>
      <w:w w:val="100"/>
      <w:color w:val="000000"/>
      <w:position w:val="0"/>
    </w:rPr>
  </w:style>
  <w:style w:type="character" w:customStyle="1" w:styleId="CharStyle31">
    <w:name w:val="Основной текст (8) Exact"/>
    <w:basedOn w:val="DefaultParagraphFont"/>
    <w:link w:val="Style30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32">
    <w:name w:val="Основной текст (8) Exact"/>
    <w:basedOn w:val="CharStyle31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4">
    <w:name w:val="Основной текст (6)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character" w:customStyle="1" w:styleId="CharStyle35">
    <w:name w:val="Основной текст (6)"/>
    <w:basedOn w:val="CharStyle3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 (7)_"/>
    <w:basedOn w:val="DefaultParagraphFont"/>
    <w:link w:val="Style36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8">
    <w:name w:val="Основной текст (7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character" w:customStyle="1" w:styleId="CharStyle40">
    <w:name w:val="Штрих-код (2)_"/>
    <w:basedOn w:val="DefaultParagraphFont"/>
    <w:link w:val="Style3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42">
    <w:name w:val="Заголовок №1_"/>
    <w:basedOn w:val="DefaultParagraphFont"/>
    <w:link w:val="Style4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4">
    <w:name w:val="Основной текст (9)_"/>
    <w:basedOn w:val="DefaultParagraphFont"/>
    <w:link w:val="Style43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5">
    <w:name w:val="Основной текст (9)"/>
    <w:basedOn w:val="CharStyle4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6">
    <w:name w:val="Заголовок №1 + Интервал 3 pt"/>
    <w:basedOn w:val="CharStyle42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48">
    <w:name w:val="Основной текст (10)_"/>
    <w:basedOn w:val="DefaultParagraphFont"/>
    <w:link w:val="Style4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1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Подпись к картинке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Segoe UI" w:eastAsia="Segoe UI" w:hAnsi="Segoe UI" w:cs="Segoe UI"/>
      <w:w w:val="200"/>
    </w:rPr>
  </w:style>
  <w:style w:type="paragraph" w:customStyle="1" w:styleId="Style8">
    <w:name w:val="Колонтитул"/>
    <w:basedOn w:val="Normal"/>
    <w:link w:val="CharStyle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FFFFFF"/>
      <w:jc w:val="center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paragraph" w:customStyle="1" w:styleId="Style30">
    <w:name w:val="Основной текст (8)"/>
    <w:basedOn w:val="Normal"/>
    <w:link w:val="CharStyle3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33">
    <w:name w:val="Основной текст (6)"/>
    <w:basedOn w:val="Normal"/>
    <w:link w:val="CharStyle34"/>
    <w:pPr>
      <w:widowControl w:val="0"/>
      <w:shd w:val="clear" w:color="auto" w:fill="FFFFFF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54"/>
      <w:szCs w:val="54"/>
      <w:rFonts w:ascii="Times New Roman" w:eastAsia="Times New Roman" w:hAnsi="Times New Roman" w:cs="Times New Roman"/>
    </w:rPr>
  </w:style>
  <w:style w:type="paragraph" w:customStyle="1" w:styleId="Style36">
    <w:name w:val="Основной текст (7)"/>
    <w:basedOn w:val="Normal"/>
    <w:link w:val="CharStyle37"/>
    <w:pPr>
      <w:widowControl w:val="0"/>
      <w:shd w:val="clear" w:color="auto" w:fill="FFFFFF"/>
      <w:jc w:val="center"/>
      <w:spacing w:before="24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9">
    <w:name w:val="Штрих-код (2)"/>
    <w:basedOn w:val="Normal"/>
    <w:link w:val="CharStyle4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41">
    <w:name w:val="Заголовок №1"/>
    <w:basedOn w:val="Normal"/>
    <w:link w:val="CharStyle42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3">
    <w:name w:val="Основной текст (9)"/>
    <w:basedOn w:val="Normal"/>
    <w:link w:val="CharStyle44"/>
    <w:pPr>
      <w:widowControl w:val="0"/>
      <w:shd w:val="clear" w:color="auto" w:fill="FFFFFF"/>
      <w:jc w:val="both"/>
      <w:spacing w:line="322" w:lineRule="exact"/>
      <w:ind w:firstLine="68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7">
    <w:name w:val="Основной текст (10)"/>
    <w:basedOn w:val="Normal"/>
    <w:link w:val="CharStyle48"/>
    <w:pPr>
      <w:widowControl w:val="0"/>
      <w:shd w:val="clear" w:color="auto" w:fill="FFFFFF"/>
      <w:spacing w:before="192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