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35" w:y="-978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8" w:line="260" w:lineRule="exact"/>
        <w:ind w:left="1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Префектура ЗАО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3" w:line="322" w:lineRule="exact"/>
        <w:ind w:left="1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Ивана Франко, д.12, г. Москва, 121355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1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«Дирекция ЖКХиБ ЗАО»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1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Коштоянца, д. 12, г. Москва, 119454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1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«ТДЮС»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1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Сельскохозяйственная ул, д. 11, к. 3, эт. 1, помещ./ком.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II/1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(рм122), г. Москва, 129226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86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10"/>
        <w:tabs>
          <w:tab w:leader="none" w:pos="9126" w:val="right"/>
          <w:tab w:leader="none" w:pos="1018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077/06/106-17789/2022 о нарушении законодательства о контрактной системе 30.11.2022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5"/>
        <w:tabs>
          <w:tab w:leader="none" w:pos="64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Н.С. Лушниковой,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 Е.Д. Мартьяновой,</w:t>
      </w:r>
    </w:p>
    <w:p>
      <w:pPr>
        <w:pStyle w:val="Style5"/>
        <w:tabs>
          <w:tab w:leader="none" w:pos="6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видеоконференцсвязи) в целях исполнения Указа Мэра Москвы от 25.09.2020 №</w:t>
        <w:tab/>
        <w:t>92-УМ «О внесении изменений в правовые акты города Москвы»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Префектуры ЗАО: А.А. Винникова (по дов.№ПЗ-4603/22 от 29.11.2022),</w:t>
      </w:r>
    </w:p>
    <w:p>
      <w:pPr>
        <w:pStyle w:val="Style5"/>
        <w:tabs>
          <w:tab w:leader="none" w:pos="6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О.В. Прусаковой (по дов.№ПЗ-2859/22 от 21.07.2022),</w:t>
      </w:r>
    </w:p>
    <w:p>
      <w:pPr>
        <w:pStyle w:val="Style3"/>
        <w:framePr w:w="1685" w:h="394" w:wrap="around" w:vAnchor="text" w:hAnchor="margin" w:x="385" w:y="7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001217966754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53" w:line="336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«ТДЮС»: Д. Никитина, А.М. Чаловой (по дов.№24/11-1 от 24.11.2022),</w:t>
      </w:r>
    </w:p>
    <w:p>
      <w:pPr>
        <w:framePr w:h="461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27" type="#_x0000_t75" style="width:126pt;height:23pt;">
            <v:imagedata r:id="rId7" r:href="rId8"/>
          </v:shape>
        </w:pict>
      </w: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ГКУ «Дирекция ЖКХиБ ЗАО», о времени и порядке заседания Комиссии Управления уведомлены надлежащим образом письмом Московского УФАС России от 25.11.2022 №НП/59943/22,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61" w:line="336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жалобу ООО «ТДЮС» (далее — Заявитель) на действия Префектуры ЗАО (далее — Заказчик) при проведении электронного аукциона на право заключения государственного контракта на оказание услуг по обеспечению комплексного сопровождения и обновления видеоконференцсвязи на программном обеспечении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«INTalk»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для префектуры и подведомственных учреждений Западного административного округа города Москвы (Закупка №0373200014222000785)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295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от 25.11.2022 №НП/59943/22.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составе жалобы Заявитель указывает, что Заказчиком установлены неправомерные требования к участникам закупки о наличии лицензии ФСТЭК России на осуществление деятельности по технической защите конфиденциальной информации для следующих видов работ и услуг: установка, монтаж, испытания, ремонт средств защиты информации (технических средств защиты информации, защищенных технических средств обработки информации, технических средств контроля эффективности мер защиты информации, программных (программно</w:t>
        <w:softHyphen/>
        <w:t>технических) средств защиты информации, защищенных программных (программно-технических) средств обработки информации, программных (программно-технических) средств контроля защищенности информации) согласно Постановлению Правительства Российской Федерации от 03.02.2012 № 79 «О лицензировании деятельности по технической защите конфиденциальной информации».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 требования, предъявляемые к участникам закупки в соответствии с пунктом 1 части 1 статьи 31 Закона о контрактной системе, требования, предъявляемые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5"/>
        <w:tabs>
          <w:tab w:leader="none" w:pos="141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 ч.1 ст.31 Закона о контрактной системе при осуществлении закупки заказчик устанавливает следующие единые требования к участникам закупки:</w:t>
        <w:tab/>
        <w:t>соответствие требованиям, установленным в соответствии с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пп. «н» п.1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документы, подтверждающие соответствие участника закупки требованиям, установленным пунктом 1 части 1 статьи 31 Закона о контрактной системе,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Закона о контрактной системе, если иное не предусмотрено Законом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ч.3 ст.43 Закона о контрактной системе требовать от участника закупки представления иных информации и документов, за исключением предусмотренных частями 1 и 2 статьи 31 Закона о контрактной системе, не допускается.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Управления установлено, что согласно Изменениям извещения о проведении электронного аукциона от 24.11.2022 №ИИ1 объектом закупки является оказание услуг по обеспечению комплексного сопровождения и обновления видеоконференцсвязи на программном обеспечении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«INTalk»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для префектуры и подведомственных учреждений Западного административного округа города Москвы.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П.12.1 информационной карты Заказчиком предъявляются следующие требования к участникам закупки на основании п. 1 ч. 1 ст. 31 Закона о контрактной системе: «Лот № 1: Исполнитель должен обладать следующими, действующими на весь срок оказания услуг лицензиями: лицензия ФСТЭК России, на осуществление деятельности по технической защите конфиденциальной информации для следующих видов работ и услуг: установка, монтаж, испытания, ремонт средств защиты информации (технических средств защиты информации, защищенных технических средств обработки информации, технических средств контроля эффективности мер за</w:t>
      </w:r>
      <w:r>
        <w:rPr>
          <w:rStyle w:val="CharStyle14"/>
        </w:rPr>
        <w:t>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ты информации, программных (программно</w:t>
        <w:softHyphen/>
        <w:t>технических) средств защиты информации, защищенных программных (программно-технических) средств обработки информации, программных (программно-технических) средств контроля защищенности информации) согласно Постановлению Правительства РФ от 03.02.2012 № 79».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согласно пп.4 п.14 лицензия ФСТЭК России также должна быть приложена участником закупки в составе заявки на участие в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Управления представитель Заявителя пояснил, что программное обеспечение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«INTalk»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не внесено в Государственный реестр сертифицированных средств защиты информации, который ведёт Федеральная служба по техническому и экспортному контролю.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 как программное обеспечение отсутствует в Государственном реестре сертифицированных средств защиты информации, то и к участникам закупки не может предъявляться требование по наличию лицензии ФСТЭК России на осуществление деятельности по технической защите конфиденциальной информации.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Перечень видов деятельности, указан Заказчиком в пункте 3.2. Технического задания, а именно: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Включение, диагностика и отключение оборудования, проверка работоспособности ПО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«INTalk»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(по заявке Заказчика, в дни проведения мероприятий, в т.ч. в нерабочее время и выходные дни);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Настройка и регулировка камер, микрофонов и аудиоколонок (по заявке Заказчика, в дни проведения мероприятий, в т.ч. в нерабочее время и выходные дни);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Фиксация аудиовизуальной информации проводимых мероприятий (по заявке Заказчика, в дни проведения мероприятий, в т.ч. в нерабочее время и выходные дни);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Запись, копирование и хранение аудиовизуальной информации (по заявке Заказчика, в дни проведения мероприятий, в т.ч. в нерабочее время и выходные дни);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Осуществление тестирования и наладки аудио и видео связи в созданной видеоконференцсвязи (за 30 минут до начала мероприятия, в т.ч. в нерабочее время и выходные дни).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Организация создания видеоконференции, в том числе и через координаторов ГБУ «ФХУ Мэрии» (по заявке Заказчика, в течение 2 часов, в т.ч. в нерабочее время и выходные дни);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Методическое и информационное сопровождение мероприятий, в т.ч. презентаций, горячих линий, вебинаров, обучений (по заявке Заказчика, в т.ч. в нерабочее время и выходные дни);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Установка и настройка специализированного ПО, предоставленного участником (автоматизированного проектирования, обработки видеопотока, аудиопотока и т.д.) (по заявке Заказчика, в т.ч. в нерабочее время и выходные дни);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Методическое и информационное сопровождение видеоконференцсвязи (по заявке Заказчика);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Обновление и настройка, в т.ч. установка, актуальных версий ПО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«INTalk»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 оборудовании Заказчика, в т.ч. на мобильные устройства участников.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по мнению Заявителя, из вышеуказанного перечня работ следует, что участник не должен осуществлять защиту конфиденциальной информации, поскольку в техническом задании отсутствуют виды деятельности, для которых необходима лицензия ФСТЭК России, на осуществление деятельности по технической защите конфиденциальной информации.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 Заявитель также указывает, что в пункте 5.3.3. Проекта контракта указано, что Исполнитель вправе привлечь к исполнению своих обязательств по Контракту других лиц - соисполнителей, обладающих специальными знаниями, навыками, специальным оборудованием и т.п., по видам (содержанию) услуг, предусмотренных в Техническом задании. При этом Исполнитель несет ответственность перед Заказчиком за неисполнение или ненадлежащее исполнение обязательств соисполнителями, что также указывает на то, что предъявление к участнику требования о наличии лицензии ФСТЭК излишне, так как такой лицензией будет обладать соисполнитель, право на привлечение которого установлено пунктом 5.3.3. Проекта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Не согласившись с доводами жалобы представитель заказчика пояснил, что указанное программное обеспечение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«InTalk»,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имеющееся у Заказчика, функционирует на северном оборудовании, в том числе расположенном в защищаемом помещении, и использует сетевое взаимодействие сертифицированного межсетевого экранирования, а также, в связи с обработкой персональных данных является информационной системой персональных данных. Кроме того, видеоконференции на указанном ПО и оборудовании проводится в защищённой корпоративной мультисервисной сети Правительства Москвы.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19 Федерального закона от 27 июля 2006 г. № 152-ФЗ «О персональных данных» оператор при обработке персональных данных обязан принимать необходимые правовые, организационные и технические меры для защиты персональных данных.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пункте 3 Требований к защите персональных данных при их обработке в информационных системах персональных данных, утвержденных постановлением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Правительства Российской Федерации от 1 ноября 2012 г. № 1119, установлено, что безопасность персональных данных при их обработке в информационный системе обеспечивает оператор этой системы, который обрабатывает персональные данные, или лицо, осуществляющее обработку персональных данных по поручению оператора на основании заключенного с этим лицом договора. Договор между оператором и уполномоченным лицом должен предусматривать обязанность уполномоченного лица обеспечить безопасность персональных данных при их обработке в информационной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видеоконференцсвязь осуществляется в защищаемых помещениях, предназначенных для конфиденциальных переговоров. При оказании услуг п. 3.2. Технического задания, а именно методическое и информационное сопровождение мероприятий может передаваться конфиденциальная информация, а Исполнителем производится фиксация аудиовизуальной информации.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Исполнитель осуществляет комплексное сопровождение ПО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«InTalk»,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имеющегося у Заказчика и являющегося информационной системой персональных данных, должен обладать лицензией ФСТЭК России, на осуществление деятельности по технической защите конфиденциальной информации.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пункту 5.3.3. проекта контракта о праве исполнителя привлечь к исполнению своих обязательств по Контракту других лиц представитель Заказчика пояснил, что указанное положение относится к п. 3.3 Технического задания, а именно в части обязательств Исполнителя организовать предоставление площадки, развёрнутой на программном обеспечении ПО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«INTalk»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или эквивалентном ПО отечественной разработки, для проведения видеоконференций. Совещания, проводимые при использовании предоставляемых Исполнителем ПО и площадки, осуществляются в отрытой сети Интернет, и для этого допускается привлечение соисполнителей без указанной лицензии.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соответствии с п. «в» п. 1 Указа Президента Российской Федерации от 01.05.2022 № 250 «О дополнительных мерах по обеспечению информационной безопасности Российской Федерации» установлено: принимать в случае необходимости решения о привлечении организаций к осуществлению мероприятий по обеспечению информационной безопасности органа (организации). При этом могут привлекаться исключительно организации, имеющие лицензии на осуществление деятельности по технической защите конфиденциальной информации.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по мнению Заказчика, Исполнитель должен обладать лицензией ФСТЭК России, на осуществление деятельности по технической защите конфиденциальной информации, возможность привлечения соисполнителей Исполнителю предусмотрена в части предоставления площадки и эквивалентного ПО отечественной разработки.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Комиссия Управления отмечает, что «Перечень контрольно</w:t>
        <w:softHyphen/>
        <w:t>измерительного и испытательного оборудования, средств контроля защищенности, необходимых для выполнения работ и оказания услуг, установленных Положением о лицензировании деятельности по технической защите конфиденциальной информации, утвержденным постановлением Правительства Российской Федерации от 3 февраля 2012 г. № 79» утверждает перечень работ и услуг, установленных Положением о лицензировании деятельности по технической защите конфиденциальной информации, утвержденным постановлением Правительства Российской Федерации от 3 февраля 2012 г. № 79: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контроль защищенности конфиденциальной информации от утечки по техническим каналам в: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средствах и системах информатизации;</w:t>
      </w:r>
    </w:p>
    <w:p>
      <w:pPr>
        <w:pStyle w:val="Style5"/>
        <w:numPr>
          <w:ilvl w:val="0"/>
          <w:numId w:val="3"/>
        </w:numPr>
        <w:tabs>
          <w:tab w:leader="none" w:pos="12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технических средствах (системах), не обрабатывающих конфиденциальную информацию, но размещенных в помещениях, где она обрабатывается;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помещениях со средствами (системами), подлежащими защите;</w:t>
      </w:r>
    </w:p>
    <w:p>
      <w:pPr>
        <w:pStyle w:val="Style5"/>
        <w:numPr>
          <w:ilvl w:val="0"/>
          <w:numId w:val="3"/>
        </w:numPr>
        <w:tabs>
          <w:tab w:leader="none" w:pos="12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помещениях, предназначенных для ведения конфиденциальных переговоров (далее - защищаемые помещения);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контроль защищенности конфиденциальной информации от несанкционированного доступа и ее модификации в средствах и системах информатизации;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мониторинг информационной безопасности средств и систем информатизации;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г) аттестационные испытания и аттестация на соответствие требованиям по защите информации: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средств и систем информатизации;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помещений со средствами (системами), подлежащими защите;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защищаемых помещений;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д) проектирование в защищенном исполнении: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средств и систем информатизации;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помещений со средствами (системами), подлежащими защите;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защищаемых помещений;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е) установка, монтаж, испытания, ремонт средств защиты информации: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технических средств защиты информации;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защищенных технических средств обработки информации;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технических средств контроля эффективности мер защиты информации;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программных (программно-технических) средств защиты информации;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защищенных программных (программно-технических) средств обработки информации;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программных (программно-технических) средств контроля защищенности информации).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как установлено Комиссией Управления перечень видов деятельности, установленный Заказчиком в пункте 3.2. Технического задания не содержит в себе работ и услуг, установленных Положением о лицензировании деятельности по технической защите конфиденциальной информации, утвержденным постановлением Правительства Российской Федерации от 3 февраля 2012 г. № 79.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свою очередь Комиссия Управления отмечает, что в случае если в один лот с работами включены работы или услуги, для выполнения которых требуется наличие специальной правоспособности (в данном случае лицензия ФСТЭК России) и которые могут выполняться (оказываться) посредством привлечения иных лиц (субподрядчиков), обладающих соответствующей лицензией, то установление требования о выполнении таких работ или услуг лицом, выполняющим работы, являющиеся объектом закупки лично, и, соответственно, установление требования о предоставлении в составе заявки на участие в аукционе соответствующей лицензии является нарушением законодательства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Так, услуги по осуществлению деятельности по технической защите конфиденциальной информации очевидно не могут являться основным предметом закупки, поскольку техническая защита конфиденциальной информации осуществляется Исполнителем в случае проведения Заказчиком видеоконференцсвязей в защищаемых помещениях, предназначенных для конфиденциальных переговоров, в то время как из объекта закупки следует, что Заказчик закупает </w:t>
      </w:r>
      <w:r>
        <w:rPr>
          <w:rStyle w:val="CharStyle15"/>
        </w:rPr>
        <w:t>оказание услуг по обеспечению комплексного сопровождения и обновления видеоконференцсвязи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 программном обеспечении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«INTalk»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для префектуры и подведомственных учреждений Западного административного округа города Москвы.</w:t>
      </w:r>
    </w:p>
    <w:p>
      <w:pPr>
        <w:pStyle w:val="Style5"/>
        <w:tabs>
          <w:tab w:leader="none" w:pos="1019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услуги по осуществлению деятельности по технической защите конфиденциальной информации фактически включены в состав оказания услуг по обеспечению комплексного сопровождения и</w:t>
        <w:tab/>
        <w:t>обновления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видеоконференцсвязи, то есть являются сопутствующими, в связи с чем требовать у участника закупки такой лицензии неправомерно.</w:t>
      </w:r>
    </w:p>
    <w:p>
      <w:pPr>
        <w:pStyle w:val="Style5"/>
        <w:tabs>
          <w:tab w:leader="none" w:pos="1019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Управления приходит к выводу об обоснованности доводов жалобы и нарушении Заказчиком ч. 6 ст. 31, ч. 3 ст. 43 Закона о контрактной системе при установлении вышеуказанных требований о наличии оспариваемой лицензий у участников закупки и о представлении указанной лицензии в составе заявки, что свидетельствует о наличии признаков состава административного правонарушения, ответственность</w:t>
        <w:tab/>
        <w:t>за которое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предусмотрена ч.4 ст.7.30 Кодекса Российской Федерации об административных правонарушениях.</w:t>
      </w:r>
    </w:p>
    <w:p>
      <w:pPr>
        <w:pStyle w:val="Style5"/>
        <w:tabs>
          <w:tab w:leader="none" w:pos="1019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</w:t>
        <w:tab/>
        <w:t>Законом 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системе, Комиссия Управления</w:t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292" w:line="260" w:lineRule="exact"/>
        <w:ind w:left="4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11"/>
        </w:numPr>
        <w:tabs>
          <w:tab w:leader="none" w:pos="101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«ТДЮС» на действия Префектуры ЗАО обоснованной.</w:t>
      </w:r>
    </w:p>
    <w:p>
      <w:pPr>
        <w:pStyle w:val="Style5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нарушение ч.6 ст.31, ч.3 ст.43 Закона о контрактной системе.</w:t>
      </w:r>
    </w:p>
    <w:p>
      <w:pPr>
        <w:pStyle w:val="Style5"/>
        <w:numPr>
          <w:ilvl w:val="0"/>
          <w:numId w:val="11"/>
        </w:numPr>
        <w:tabs>
          <w:tab w:leader="none" w:pos="101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numPr>
          <w:ilvl w:val="0"/>
          <w:numId w:val="11"/>
        </w:numPr>
        <w:tabs>
          <w:tab w:leader="none" w:pos="101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0" w:line="336" w:lineRule="exact"/>
        <w:ind w:left="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38" w:line="336" w:lineRule="exact"/>
        <w:ind w:left="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88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К.А. Сомов</w:t>
      </w:r>
    </w:p>
    <w:p>
      <w:pPr>
        <w:pStyle w:val="Style5"/>
        <w:tabs>
          <w:tab w:leader="none" w:pos="8702" w:val="right"/>
          <w:tab w:leader="none" w:pos="101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Н.С.</w:t>
        <w:tab/>
        <w:t>Лушникова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5411" w:line="638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Е.Д. Мартьянова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Исп.Лушникова Н.С. тел.8 (495)784-75-05</w:t>
      </w:r>
    </w:p>
    <w:sectPr>
      <w:headerReference w:type="default" r:id="rId9"/>
      <w:footerReference w:type="default" r:id="rId10"/>
      <w:footerReference w:type="first" r:id="rId11"/>
      <w:titlePg/>
      <w:footnotePr>
        <w:pos w:val="pageBottom"/>
        <w:numFmt w:val="decimal"/>
        <w:numRestart w:val="continuous"/>
      </w:footnotePr>
      <w:type w:val="continuous"/>
      <w:pgSz w:w="11909" w:h="16838"/>
      <w:pgMar w:top="1374" w:left="845" w:right="821" w:bottom="736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3.7pt;margin-top:807.35pt;width:57.1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</w:rPr>
                  <w:t>2022-66936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44.4pt;margin-top:811.55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</w:rPr>
                  <w:t>2022-66936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95.7pt;margin-top:44.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9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Колонтитул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Колонтитул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Заголовок №1_"/>
    <w:basedOn w:val="DefaultParagraphFont"/>
    <w:link w:val="Style1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+ Курсив"/>
    <w:basedOn w:val="CharStyle6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7">
    <w:name w:val="Основной текст (3)_"/>
    <w:basedOn w:val="DefaultParagraphFont"/>
    <w:link w:val="Style16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Колонтитул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spacing w:before="420" w:line="336" w:lineRule="exact"/>
      <w:ind w:firstLine="436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FFFFFF"/>
      <w:spacing w:before="5100"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footer" Target="footer2.xml"/></Relationships>
</file>