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80" w:lineRule="exact"/>
        <w:ind w:left="0" w:right="0" w:firstLine="0"/>
        <w:sectPr>
          <w:headerReference w:type="default" r:id="rId5"/>
          <w:titlePg/>
          <w:footnotePr>
            <w:pos w:val="pageBottom"/>
            <w:numFmt w:val="decimal"/>
            <w:numRestart w:val="continuous"/>
          </w:footnotePr>
          <w:type w:val="continuous"/>
          <w:pgSz w:w="11909" w:h="16838"/>
          <w:pgMar w:top="624" w:left="2865" w:right="8840" w:bottom="653" w:header="0" w:footer="3" w:gutter="0"/>
          <w:rtlGutter w:val="0"/>
          <w:cols w:space="720"/>
          <w:noEndnote/>
          <w:docGrid w:linePitch="360"/>
        </w:sectPr>
      </w:pPr>
      <w:r>
        <w:rPr>
          <w:lang w:val="ru-RU" w:eastAsia="ru-RU" w:bidi="ru-RU"/>
          <w:w w:val="100"/>
          <w:spacing w:val="0"/>
          <w:color w:val="000000"/>
          <w:position w:val="0"/>
        </w:rPr>
        <w:t>г</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1" w:after="41"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977" w:wrap="around" w:vAnchor="text" w:hAnchor="margin" w:x="797" w:y="3715"/>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206pt;height:49pt;">
            <v:imagedata r:id="rId6" r:href="rId7"/>
          </v:shape>
        </w:pict>
      </w:r>
    </w:p>
    <w:p>
      <w:pPr>
        <w:widowControl w:val="0"/>
        <w:rPr>
          <w:sz w:val="2"/>
          <w:szCs w:val="2"/>
        </w:rPr>
      </w:pPr>
    </w:p>
    <w:p>
      <w:pPr>
        <w:pStyle w:val="Style5"/>
        <w:widowControl w:val="0"/>
        <w:keepNext/>
        <w:keepLines/>
        <w:shd w:val="clear" w:color="auto" w:fill="auto"/>
        <w:bidi w:val="0"/>
        <w:spacing w:before="0" w:after="117"/>
        <w:ind w:left="0" w:right="20" w:firstLine="0"/>
      </w:pPr>
      <w:bookmarkStart w:id="0" w:name="bookmark0"/>
      <w:r>
        <w:rPr>
          <w:lang w:val="ru-RU" w:eastAsia="ru-RU" w:bidi="ru-RU"/>
          <w:sz w:val="24"/>
          <w:szCs w:val="24"/>
          <w:w w:val="100"/>
          <w:spacing w:val="0"/>
          <w:color w:val="000000"/>
          <w:position w:val="0"/>
        </w:rPr>
        <w:t>ФЕДЕРАЛЬНАЯ АНТИМОНОПОЛЬНАЯ СЛУЖБА</w:t>
      </w:r>
      <w:bookmarkEnd w:id="0"/>
    </w:p>
    <w:p>
      <w:pPr>
        <w:pStyle w:val="Style7"/>
        <w:widowControl w:val="0"/>
        <w:keepNext w:val="0"/>
        <w:keepLines w:val="0"/>
        <w:shd w:val="clear" w:color="auto" w:fill="auto"/>
        <w:bidi w:val="0"/>
        <w:spacing w:before="0" w:after="0"/>
        <w:ind w:left="0" w:right="20" w:firstLine="0"/>
      </w:pPr>
      <w:r>
        <w:rPr>
          <w:rStyle w:val="CharStyle9"/>
          <w:b w:val="0"/>
          <w:bCs w:val="0"/>
        </w:rPr>
        <w:t xml:space="preserve">УПРАВЛЕНИЕ </w:t>
      </w:r>
      <w:r>
        <w:rPr>
          <w:lang w:val="ru-RU" w:eastAsia="ru-RU" w:bidi="ru-RU"/>
          <w:sz w:val="24"/>
          <w:szCs w:val="24"/>
          <w:w w:val="100"/>
          <w:spacing w:val="0"/>
          <w:color w:val="000000"/>
          <w:position w:val="0"/>
        </w:rPr>
        <w:t>Федеральной антимонопольной службы</w:t>
      </w:r>
    </w:p>
    <w:p>
      <w:pPr>
        <w:pStyle w:val="Style10"/>
        <w:widowControl w:val="0"/>
        <w:keepNext/>
        <w:keepLines/>
        <w:shd w:val="clear" w:color="auto" w:fill="auto"/>
        <w:bidi w:val="0"/>
        <w:spacing w:before="0" w:after="102"/>
        <w:ind w:left="0" w:right="20" w:firstLine="0"/>
      </w:pPr>
      <w:bookmarkStart w:id="1" w:name="bookmark1"/>
      <w:r>
        <w:rPr>
          <w:lang w:val="ru-RU" w:eastAsia="ru-RU" w:bidi="ru-RU"/>
          <w:sz w:val="24"/>
          <w:szCs w:val="24"/>
          <w:w w:val="100"/>
          <w:spacing w:val="0"/>
          <w:color w:val="000000"/>
          <w:position w:val="0"/>
        </w:rPr>
        <w:t xml:space="preserve">по Республике Крым </w:t>
      </w:r>
      <w:r>
        <w:rPr>
          <w:rStyle w:val="CharStyle12"/>
        </w:rPr>
        <w:t xml:space="preserve">и </w:t>
      </w:r>
      <w:r>
        <w:rPr>
          <w:lang w:val="ru-RU" w:eastAsia="ru-RU" w:bidi="ru-RU"/>
          <w:sz w:val="24"/>
          <w:szCs w:val="24"/>
          <w:w w:val="100"/>
          <w:spacing w:val="0"/>
          <w:color w:val="000000"/>
          <w:position w:val="0"/>
        </w:rPr>
        <w:t xml:space="preserve">городу Севастополю (Крымское </w:t>
      </w:r>
      <w:r>
        <w:rPr>
          <w:rStyle w:val="CharStyle12"/>
        </w:rPr>
        <w:t xml:space="preserve">У ФАС </w:t>
      </w:r>
      <w:r>
        <w:rPr>
          <w:lang w:val="ru-RU" w:eastAsia="ru-RU" w:bidi="ru-RU"/>
          <w:sz w:val="24"/>
          <w:szCs w:val="24"/>
          <w:w w:val="100"/>
          <w:spacing w:val="0"/>
          <w:color w:val="000000"/>
          <w:position w:val="0"/>
        </w:rPr>
        <w:t>России)</w:t>
      </w:r>
      <w:bookmarkEnd w:id="1"/>
    </w:p>
    <w:p>
      <w:pPr>
        <w:pStyle w:val="Style3"/>
        <w:widowControl w:val="0"/>
        <w:keepNext w:val="0"/>
        <w:keepLines w:val="0"/>
        <w:shd w:val="clear" w:color="auto" w:fill="auto"/>
        <w:bidi w:val="0"/>
        <w:jc w:val="left"/>
        <w:spacing w:before="0" w:after="53" w:line="262" w:lineRule="exact"/>
        <w:ind w:left="640" w:right="580" w:firstLine="560"/>
      </w:pPr>
      <w:r>
        <w:rPr>
          <w:rStyle w:val="CharStyle13"/>
        </w:rPr>
        <w:t xml:space="preserve">ул. </w:t>
      </w:r>
      <w:r>
        <w:rPr>
          <w:lang w:val="ru-RU" w:eastAsia="ru-RU" w:bidi="ru-RU"/>
          <w:w w:val="100"/>
          <w:spacing w:val="0"/>
          <w:color w:val="000000"/>
          <w:position w:val="0"/>
        </w:rPr>
        <w:t xml:space="preserve">Александра </w:t>
      </w:r>
      <w:r>
        <w:rPr>
          <w:rStyle w:val="CharStyle13"/>
        </w:rPr>
        <w:t xml:space="preserve">Невского, </w:t>
      </w:r>
      <w:r>
        <w:rPr>
          <w:lang w:val="ru-RU" w:eastAsia="ru-RU" w:bidi="ru-RU"/>
          <w:w w:val="100"/>
          <w:spacing w:val="0"/>
          <w:color w:val="000000"/>
          <w:position w:val="0"/>
        </w:rPr>
        <w:t xml:space="preserve">д. 1. г. Симферополь, Республика Крым, 295000 тел. +7 (499) 755-23-23, доб. 092-101 </w:t>
      </w:r>
      <w:r>
        <w:rPr>
          <w:lang w:val="en-US" w:eastAsia="en-US" w:bidi="en-US"/>
          <w:w w:val="100"/>
          <w:spacing w:val="0"/>
          <w:color w:val="000000"/>
          <w:position w:val="0"/>
        </w:rPr>
        <w:t>to92@|as, gov.ru ht^;//ww^</w:t>
      </w:r>
    </w:p>
    <w:p>
      <w:pPr>
        <w:pStyle w:val="Style14"/>
        <w:widowControl w:val="0"/>
        <w:keepNext/>
        <w:keepLines/>
        <w:shd w:val="clear" w:color="auto" w:fill="auto"/>
        <w:bidi w:val="0"/>
        <w:spacing w:before="0" w:after="0"/>
        <w:ind w:left="0" w:right="20" w:firstLine="0"/>
      </w:pPr>
      <w:bookmarkStart w:id="2" w:name="bookmark2"/>
      <w:r>
        <w:rPr>
          <w:rStyle w:val="CharStyle16"/>
          <w:i w:val="0"/>
          <w:iCs w:val="0"/>
        </w:rPr>
        <w:t xml:space="preserve">  </w:t>
      </w:r>
      <w:r>
        <w:rPr>
          <w:rStyle w:val="CharStyle17"/>
          <w:i/>
          <w:iCs/>
        </w:rPr>
        <w:t>Of</w:t>
      </w:r>
      <w:bookmarkEnd w:id="2"/>
    </w:p>
    <w:p>
      <w:pPr>
        <w:pStyle w:val="Style18"/>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На №</w:t>
      </w:r>
    </w:p>
    <w:p>
      <w:pPr>
        <w:pStyle w:val="Style1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Г"</w:t>
      </w:r>
    </w:p>
    <w:p>
      <w:pPr>
        <w:pStyle w:val="Style18"/>
        <w:widowControl w:val="0"/>
        <w:keepNext w:val="0"/>
        <w:keepLines w:val="0"/>
        <w:shd w:val="clear" w:color="auto" w:fill="auto"/>
        <w:bidi w:val="0"/>
        <w:jc w:val="left"/>
        <w:spacing w:before="0" w:after="0" w:line="281" w:lineRule="exact"/>
        <w:ind w:left="20" w:right="0" w:firstLine="0"/>
      </w:pPr>
      <w:r>
        <w:rPr>
          <w:rStyle w:val="CharStyle20"/>
          <w:lang w:val="ru-RU" w:eastAsia="ru-RU" w:bidi="ru-RU"/>
        </w:rPr>
        <w:t>ЗАКАЗЧИК:</w:t>
      </w:r>
    </w:p>
    <w:p>
      <w:pPr>
        <w:pStyle w:val="Style18"/>
        <w:widowControl w:val="0"/>
        <w:keepNext w:val="0"/>
        <w:keepLines w:val="0"/>
        <w:shd w:val="clear" w:color="auto" w:fill="auto"/>
        <w:bidi w:val="0"/>
        <w:jc w:val="left"/>
        <w:spacing w:before="0" w:after="244" w:line="281" w:lineRule="exact"/>
        <w:ind w:left="20" w:right="0" w:firstLine="0"/>
      </w:pPr>
      <w:r>
        <w:rPr>
          <w:lang w:val="ru-RU" w:eastAsia="ru-RU" w:bidi="ru-RU"/>
          <w:w w:val="100"/>
          <w:spacing w:val="0"/>
          <w:color w:val="000000"/>
          <w:position w:val="0"/>
        </w:rPr>
        <w:t xml:space="preserve">Государственное казенное учреждение города Севастополя «Дирекция по развитию дорожно- транспортной инфраструктуры города Севастополя» ул. Индустриальная, д. 3, г. Севастополь, 299040 </w:t>
      </w:r>
      <w:r>
        <w:fldChar w:fldCharType="begin"/>
      </w:r>
      <w:r>
        <w:rPr>
          <w:rStyle w:val="CharStyle20"/>
        </w:rPr>
        <w:instrText> HYPERLINK "mailto:info@sevdortrans.ru" </w:instrText>
      </w:r>
      <w:r>
        <w:fldChar w:fldCharType="separate"/>
      </w:r>
      <w:r>
        <w:rPr>
          <w:rStyle w:val="Hyperlink"/>
        </w:rPr>
        <w:t>info@sevdortrans.ru</w:t>
      </w:r>
      <w:r>
        <w:fldChar w:fldCharType="end"/>
      </w:r>
    </w:p>
    <w:p>
      <w:pPr>
        <w:pStyle w:val="Style18"/>
        <w:widowControl w:val="0"/>
        <w:keepNext w:val="0"/>
        <w:keepLines w:val="0"/>
        <w:shd w:val="clear" w:color="auto" w:fill="auto"/>
        <w:bidi w:val="0"/>
        <w:jc w:val="left"/>
        <w:spacing w:before="0" w:after="0" w:line="277" w:lineRule="exact"/>
        <w:ind w:left="20" w:right="0" w:firstLine="0"/>
      </w:pPr>
      <w:r>
        <w:rPr>
          <w:rStyle w:val="CharStyle20"/>
          <w:lang w:val="ru-RU" w:eastAsia="ru-RU" w:bidi="ru-RU"/>
        </w:rPr>
        <w:t>УПОЛНОМОЧЕННЫЙ ОРГАН:</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Департамент управления делами</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губернатора и правительства</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Севастополя</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Ленина, дом 2</w:t>
      </w:r>
    </w:p>
    <w:p>
      <w:pPr>
        <w:pStyle w:val="Style18"/>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Севастополь, 299011</w:t>
      </w:r>
    </w:p>
    <w:p>
      <w:pPr>
        <w:pStyle w:val="Style18"/>
        <w:widowControl w:val="0"/>
        <w:keepNext w:val="0"/>
        <w:keepLines w:val="0"/>
        <w:shd w:val="clear" w:color="auto" w:fill="auto"/>
        <w:bidi w:val="0"/>
        <w:jc w:val="left"/>
        <w:spacing w:before="0" w:after="277" w:line="277" w:lineRule="exact"/>
        <w:ind w:left="20" w:right="0" w:firstLine="0"/>
      </w:pPr>
      <w:r>
        <w:rPr>
          <w:rStyle w:val="CharStyle20"/>
        </w:rPr>
        <w:t>d.pecamicov@sev. gov.ru</w:t>
      </w:r>
    </w:p>
    <w:p>
      <w:pPr>
        <w:pStyle w:val="Style18"/>
        <w:widowControl w:val="0"/>
        <w:keepNext w:val="0"/>
        <w:keepLines w:val="0"/>
        <w:shd w:val="clear" w:color="auto" w:fill="auto"/>
        <w:bidi w:val="0"/>
        <w:jc w:val="left"/>
        <w:spacing w:before="0" w:after="0" w:line="230" w:lineRule="exact"/>
        <w:ind w:left="20" w:right="0" w:firstLine="0"/>
      </w:pPr>
      <w:r>
        <w:rPr>
          <w:rStyle w:val="CharStyle20"/>
          <w:lang w:val="ru-RU" w:eastAsia="ru-RU" w:bidi="ru-RU"/>
        </w:rPr>
        <w:t>ЗАЯВИТЕЛЬ:</w:t>
      </w:r>
    </w:p>
    <w:p>
      <w:pPr>
        <w:pStyle w:val="Style18"/>
        <w:widowControl w:val="0"/>
        <w:keepNext w:val="0"/>
        <w:keepLines w:val="0"/>
        <w:shd w:val="clear" w:color="auto" w:fill="auto"/>
        <w:bidi w:val="0"/>
        <w:jc w:val="left"/>
        <w:spacing w:before="0" w:after="251" w:line="286" w:lineRule="exact"/>
        <w:ind w:left="20" w:right="0" w:firstLine="0"/>
      </w:pPr>
      <w:r>
        <w:rPr>
          <w:lang w:val="ru-RU" w:eastAsia="ru-RU" w:bidi="ru-RU"/>
          <w:w w:val="100"/>
          <w:spacing w:val="0"/>
          <w:color w:val="000000"/>
          <w:position w:val="0"/>
        </w:rPr>
        <w:t xml:space="preserve">Общество с ограниченной ответственностью ТД «Д-Марк» ул. 30 лет Победы, д. 89, г. Тюмень, 625051 </w:t>
      </w:r>
      <w:r>
        <w:fldChar w:fldCharType="begin"/>
      </w:r>
      <w:r>
        <w:rPr>
          <w:rStyle w:val="CharStyle20"/>
        </w:rPr>
        <w:instrText> HYPERLINK "mailto:oleg@d-mk.ru" </w:instrText>
      </w:r>
      <w:r>
        <w:fldChar w:fldCharType="separate"/>
      </w:r>
      <w:r>
        <w:rPr>
          <w:rStyle w:val="Hyperlink"/>
        </w:rPr>
        <w:t>oleg@d-mk.ru</w:t>
      </w:r>
      <w:r>
        <w:fldChar w:fldCharType="end"/>
      </w:r>
      <w:r>
        <w:rPr>
          <w:lang w:val="en-US" w:eastAsia="en-US" w:bidi="en-US"/>
          <w:w w:val="100"/>
          <w:spacing w:val="0"/>
          <w:color w:val="000000"/>
          <w:position w:val="0"/>
        </w:rPr>
        <w:t xml:space="preserve"> </w:t>
      </w:r>
      <w:r>
        <w:fldChar w:fldCharType="begin"/>
      </w:r>
      <w:r>
        <w:rPr>
          <w:rStyle w:val="CharStyle20"/>
        </w:rPr>
        <w:instrText> HYPERLINK "mailto:madlen-ice@mail.ru" </w:instrText>
      </w:r>
      <w:r>
        <w:fldChar w:fldCharType="separate"/>
      </w:r>
      <w:r>
        <w:rPr>
          <w:rStyle w:val="Hyperlink"/>
        </w:rPr>
        <w:t>madlen-ice@mail.ru</w:t>
      </w:r>
      <w:r>
        <w:fldChar w:fldCharType="end"/>
      </w:r>
    </w:p>
    <w:p>
      <w:pPr>
        <w:pStyle w:val="Style18"/>
        <w:widowControl w:val="0"/>
        <w:keepNext w:val="0"/>
        <w:keepLines w:val="0"/>
        <w:shd w:val="clear" w:color="auto" w:fill="auto"/>
        <w:bidi w:val="0"/>
        <w:jc w:val="both"/>
        <w:spacing w:before="0" w:after="0" w:line="272" w:lineRule="exact"/>
        <w:ind w:left="20" w:right="180" w:firstLine="0"/>
      </w:pPr>
      <w:r>
        <w:rPr>
          <w:rStyle w:val="CharStyle20"/>
          <w:lang w:val="ru-RU" w:eastAsia="ru-RU" w:bidi="ru-RU"/>
        </w:rPr>
        <w:t>ЭЛЕКТРОННАЯ ПЛОЩАДКА:</w:t>
      </w:r>
      <w:r>
        <w:rPr>
          <w:lang w:val="ru-RU" w:eastAsia="ru-RU" w:bidi="ru-RU"/>
          <w:w w:val="100"/>
          <w:spacing w:val="0"/>
          <w:color w:val="000000"/>
          <w:position w:val="0"/>
        </w:rPr>
        <w:t xml:space="preserve"> Акционерное общество «Единая электронная торговая площадка»</w:t>
      </w:r>
    </w:p>
    <w:p>
      <w:pPr>
        <w:pStyle w:val="Style18"/>
        <w:widowControl w:val="0"/>
        <w:keepNext w:val="0"/>
        <w:keepLines w:val="0"/>
        <w:shd w:val="clear" w:color="auto" w:fill="auto"/>
        <w:bidi w:val="0"/>
        <w:jc w:val="left"/>
        <w:spacing w:before="0" w:after="0" w:line="277" w:lineRule="exact"/>
        <w:ind w:left="20" w:right="0" w:firstLine="0"/>
        <w:sectPr>
          <w:type w:val="continuous"/>
          <w:pgSz w:w="11909" w:h="16838"/>
          <w:pgMar w:top="609" w:left="914" w:right="1467" w:bottom="638" w:header="0" w:footer="3" w:gutter="0"/>
          <w:rtlGutter w:val="0"/>
          <w:cols w:num="2" w:space="720" w:equalWidth="0">
            <w:col w:w="4906" w:space="1082"/>
            <w:col w:w="3538"/>
          </w:cols>
          <w:noEndnote/>
          <w:docGrid w:linePitch="360"/>
        </w:sectPr>
      </w:pPr>
      <w:r>
        <w:rPr>
          <w:lang w:val="ru-RU" w:eastAsia="ru-RU" w:bidi="ru-RU"/>
          <w:w w:val="100"/>
          <w:spacing w:val="0"/>
          <w:color w:val="000000"/>
          <w:position w:val="0"/>
        </w:rPr>
        <w:t xml:space="preserve">ул. Кожевническая, д. 14, стр. 5 г. Москва, 115114, </w:t>
      </w:r>
      <w:r>
        <w:fldChar w:fldCharType="begin"/>
      </w:r>
      <w:r>
        <w:rPr>
          <w:rStyle w:val="CharStyle20"/>
        </w:rPr>
        <w:instrText> HYPERLINK "mailto:info@roseltorg.ru" </w:instrText>
      </w:r>
      <w:r>
        <w:fldChar w:fldCharType="separate"/>
      </w:r>
      <w:r>
        <w:rPr>
          <w:rStyle w:val="Hyperlink"/>
        </w:rPr>
        <w:t>info@roseltorg.ru</w:t>
      </w:r>
      <w:r>
        <w:fldChar w:fldCharType="end"/>
      </w:r>
    </w:p>
    <w:p>
      <w:pPr>
        <w:widowControl w:val="0"/>
        <w:spacing w:before="20" w:after="2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0" w:line="315" w:lineRule="exact"/>
        <w:ind w:left="2860" w:right="2640" w:firstLine="1860"/>
      </w:pPr>
      <w:r>
        <w:rPr>
          <w:lang w:val="ru-RU" w:eastAsia="ru-RU" w:bidi="ru-RU"/>
          <w:w w:val="100"/>
          <w:spacing w:val="0"/>
          <w:color w:val="000000"/>
          <w:position w:val="0"/>
        </w:rPr>
        <w:t>РЕШЕНИЕ по делу № 092/06/105-274/2022 о нарушении законодательства об осуществлении закупок</w:t>
      </w:r>
    </w:p>
    <w:p>
      <w:pPr>
        <w:pStyle w:val="Style18"/>
        <w:widowControl w:val="0"/>
        <w:keepNext w:val="0"/>
        <w:keepLines w:val="0"/>
        <w:shd w:val="clear" w:color="auto" w:fill="auto"/>
        <w:bidi w:val="0"/>
        <w:jc w:val="right"/>
        <w:spacing w:before="0" w:after="0" w:line="315" w:lineRule="exact"/>
        <w:ind w:left="0" w:right="20" w:firstLine="0"/>
      </w:pPr>
      <w:r>
        <w:rPr>
          <w:lang w:val="ru-RU" w:eastAsia="ru-RU" w:bidi="ru-RU"/>
          <w:w w:val="100"/>
          <w:spacing w:val="0"/>
          <w:color w:val="000000"/>
          <w:position w:val="0"/>
        </w:rPr>
        <w:t>г. Севастополь</w:t>
      </w:r>
    </w:p>
    <w:p>
      <w:pPr>
        <w:pStyle w:val="Style18"/>
        <w:widowControl w:val="0"/>
        <w:keepNext w:val="0"/>
        <w:keepLines w:val="0"/>
        <w:shd w:val="clear" w:color="auto" w:fill="auto"/>
        <w:bidi w:val="0"/>
        <w:jc w:val="both"/>
        <w:spacing w:before="0" w:after="0" w:line="315" w:lineRule="exact"/>
        <w:ind w:left="0" w:right="0" w:firstLine="700"/>
      </w:pPr>
      <w:r>
        <w:rPr>
          <w:lang w:val="ru-RU" w:eastAsia="ru-RU" w:bidi="ru-RU"/>
          <w:w w:val="100"/>
          <w:spacing w:val="0"/>
          <w:color w:val="000000"/>
          <w:position w:val="0"/>
        </w:rPr>
        <w:t>Резолютивная часть решения объявлена 02 декабря 2022 года.</w:t>
      </w:r>
    </w:p>
    <w:p>
      <w:pPr>
        <w:pStyle w:val="Style18"/>
        <w:widowControl w:val="0"/>
        <w:keepNext w:val="0"/>
        <w:keepLines w:val="0"/>
        <w:shd w:val="clear" w:color="auto" w:fill="auto"/>
        <w:bidi w:val="0"/>
        <w:jc w:val="both"/>
        <w:spacing w:before="0" w:after="0" w:line="315" w:lineRule="exact"/>
        <w:ind w:left="0" w:right="0" w:firstLine="700"/>
      </w:pPr>
      <w:r>
        <w:rPr>
          <w:lang w:val="ru-RU" w:eastAsia="ru-RU" w:bidi="ru-RU"/>
          <w:w w:val="100"/>
          <w:spacing w:val="0"/>
          <w:color w:val="000000"/>
          <w:position w:val="0"/>
        </w:rPr>
        <w:t>Решение изготовлено в полном объеме 07 декабря 2022 года.</w:t>
      </w:r>
    </w:p>
    <w:p>
      <w:pPr>
        <w:pStyle w:val="Style18"/>
        <w:widowControl w:val="0"/>
        <w:keepNext w:val="0"/>
        <w:keepLines w:val="0"/>
        <w:shd w:val="clear" w:color="auto" w:fill="auto"/>
        <w:bidi w:val="0"/>
        <w:jc w:val="both"/>
        <w:spacing w:before="0" w:after="0" w:line="315" w:lineRule="exact"/>
        <w:ind w:left="0" w:right="2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 начальник отдела контроля за соблюдением антимонопольного законодательства, рекламы и контроля закупок города Севастополя (далее - Отдел) Управления, председатель Комиссии; Соловьева А.А. - главный специалист-эксперт отдела контроля за соблюдением антимонопольного законодательства,</w:t>
        <w:br w:type="page"/>
        <w:t xml:space="preserve">рекламы и контроля закупок города Севастополя </w:t>
      </w:r>
      <w:r>
        <w:rPr>
          <w:rStyle w:val="CharStyle21"/>
        </w:rPr>
        <w:t xml:space="preserve">(далее </w:t>
      </w:r>
      <w:r>
        <w:rPr>
          <w:lang w:val="ru-RU" w:eastAsia="ru-RU" w:bidi="ru-RU"/>
          <w:w w:val="100"/>
          <w:spacing w:val="0"/>
          <w:color w:val="000000"/>
          <w:position w:val="0"/>
        </w:rPr>
        <w:t xml:space="preserve">- </w:t>
      </w:r>
      <w:r>
        <w:rPr>
          <w:rStyle w:val="CharStyle21"/>
        </w:rPr>
        <w:t xml:space="preserve">Отдел) Управления, член Комиссии; </w:t>
      </w:r>
      <w:r>
        <w:rPr>
          <w:lang w:val="ru-RU" w:eastAsia="ru-RU" w:bidi="ru-RU"/>
          <w:w w:val="100"/>
          <w:spacing w:val="0"/>
          <w:color w:val="000000"/>
          <w:position w:val="0"/>
        </w:rPr>
        <w:t xml:space="preserve">Носова К.В. - специалист-эксперт отдела контроля за </w:t>
      </w:r>
      <w:r>
        <w:rPr>
          <w:rStyle w:val="CharStyle21"/>
        </w:rPr>
        <w:t xml:space="preserve">соблюдением антимонопольного </w:t>
      </w:r>
      <w:r>
        <w:rPr>
          <w:lang w:val="ru-RU" w:eastAsia="ru-RU" w:bidi="ru-RU"/>
          <w:w w:val="100"/>
          <w:spacing w:val="0"/>
          <w:color w:val="000000"/>
          <w:position w:val="0"/>
        </w:rPr>
        <w:t xml:space="preserve">законодательства, рекламы и контроля закупок города </w:t>
      </w:r>
      <w:r>
        <w:rPr>
          <w:rStyle w:val="CharStyle21"/>
        </w:rPr>
        <w:t xml:space="preserve">Севастополя (далее </w:t>
      </w:r>
      <w:r>
        <w:rPr>
          <w:lang w:val="ru-RU" w:eastAsia="ru-RU" w:bidi="ru-RU"/>
          <w:w w:val="100"/>
          <w:spacing w:val="0"/>
          <w:color w:val="000000"/>
          <w:position w:val="0"/>
        </w:rPr>
        <w:t xml:space="preserve">- </w:t>
      </w:r>
      <w:r>
        <w:rPr>
          <w:rStyle w:val="CharStyle21"/>
        </w:rPr>
        <w:t xml:space="preserve">Отдел) Управления, </w:t>
      </w:r>
      <w:r>
        <w:rPr>
          <w:lang w:val="ru-RU" w:eastAsia="ru-RU" w:bidi="ru-RU"/>
          <w:w w:val="100"/>
          <w:spacing w:val="0"/>
          <w:color w:val="000000"/>
          <w:position w:val="0"/>
        </w:rPr>
        <w:t xml:space="preserve">член Комиссии, при очном участии представителя </w:t>
      </w:r>
      <w:r>
        <w:rPr>
          <w:rStyle w:val="CharStyle21"/>
        </w:rPr>
        <w:t xml:space="preserve">Государственного казенного учреждения города </w:t>
      </w:r>
      <w:r>
        <w:rPr>
          <w:lang w:val="ru-RU" w:eastAsia="ru-RU" w:bidi="ru-RU"/>
          <w:w w:val="100"/>
          <w:spacing w:val="0"/>
          <w:color w:val="000000"/>
          <w:position w:val="0"/>
        </w:rPr>
        <w:t xml:space="preserve">Севастополя «Дирекция по развитию дорожно-транспортной инфраструктуры города Севастополя»: Зенкина С.В. (доверенность </w:t>
      </w:r>
      <w:r>
        <w:rPr>
          <w:rStyle w:val="CharStyle21"/>
        </w:rPr>
        <w:t xml:space="preserve">№25 от 30.03.2022г.), Белых А.С. (доверенность №б/н от </w:t>
      </w:r>
      <w:r>
        <w:rPr>
          <w:lang w:val="ru-RU" w:eastAsia="ru-RU" w:bidi="ru-RU"/>
          <w:w w:val="100"/>
          <w:spacing w:val="0"/>
          <w:color w:val="000000"/>
          <w:position w:val="0"/>
        </w:rPr>
        <w:t xml:space="preserve">14.05.2022г.), представителя Департамента </w:t>
      </w:r>
      <w:r>
        <w:rPr>
          <w:rStyle w:val="CharStyle21"/>
        </w:rPr>
        <w:t xml:space="preserve">управления делами губернатора и правительства </w:t>
      </w:r>
      <w:r>
        <w:rPr>
          <w:lang w:val="ru-RU" w:eastAsia="ru-RU" w:bidi="ru-RU"/>
          <w:w w:val="100"/>
          <w:spacing w:val="0"/>
          <w:color w:val="000000"/>
          <w:position w:val="0"/>
        </w:rPr>
        <w:t xml:space="preserve">Севастополя: Гагарина В.Л. (доверенность </w:t>
      </w:r>
      <w:r>
        <w:rPr>
          <w:rStyle w:val="CharStyle21"/>
        </w:rPr>
        <w:t xml:space="preserve">№49 </w:t>
      </w:r>
      <w:r>
        <w:rPr>
          <w:lang w:val="ru-RU" w:eastAsia="ru-RU" w:bidi="ru-RU"/>
          <w:w w:val="100"/>
          <w:spacing w:val="0"/>
          <w:color w:val="000000"/>
          <w:position w:val="0"/>
        </w:rPr>
        <w:t xml:space="preserve">от </w:t>
      </w:r>
      <w:r>
        <w:rPr>
          <w:rStyle w:val="CharStyle21"/>
        </w:rPr>
        <w:t xml:space="preserve">16.08.2022г.), при подключении посредством </w:t>
      </w:r>
      <w:r>
        <w:rPr>
          <w:lang w:val="ru-RU" w:eastAsia="ru-RU" w:bidi="ru-RU"/>
          <w:w w:val="100"/>
          <w:spacing w:val="0"/>
          <w:color w:val="000000"/>
          <w:position w:val="0"/>
        </w:rPr>
        <w:t xml:space="preserve">интернет-видеоконференции через программу </w:t>
      </w:r>
      <w:r>
        <w:rPr>
          <w:rStyle w:val="CharStyle21"/>
          <w:lang w:val="en-US" w:eastAsia="en-US" w:bidi="en-US"/>
        </w:rPr>
        <w:t xml:space="preserve">«TrueConf» </w:t>
      </w:r>
      <w:r>
        <w:rPr>
          <w:rStyle w:val="CharStyle21"/>
        </w:rPr>
        <w:t xml:space="preserve">представителя Общества с ограниченной </w:t>
      </w:r>
      <w:r>
        <w:rPr>
          <w:lang w:val="ru-RU" w:eastAsia="ru-RU" w:bidi="ru-RU"/>
          <w:w w:val="100"/>
          <w:spacing w:val="0"/>
          <w:color w:val="000000"/>
          <w:position w:val="0"/>
        </w:rPr>
        <w:t xml:space="preserve">ответственностью ТД «Д-МАРК»: Вторушина НА. (доверенность №3 от </w:t>
      </w:r>
      <w:r>
        <w:rPr>
          <w:rStyle w:val="CharStyle21"/>
        </w:rPr>
        <w:t xml:space="preserve">01.08.2020г,), </w:t>
      </w:r>
      <w:r>
        <w:rPr>
          <w:lang w:val="ru-RU" w:eastAsia="ru-RU" w:bidi="ru-RU"/>
          <w:w w:val="100"/>
          <w:spacing w:val="0"/>
          <w:color w:val="000000"/>
          <w:position w:val="0"/>
        </w:rPr>
        <w:t xml:space="preserve">рассмотрев жалобу Общества с ограниченной ответственностью ТД «Д-Марк» (далее - Заявитель) на действия Г осударственного казенного учреждения города Севастополя «Дирекция по развитию дорожно- транспортной инфраструктуры города Севастополя» (далее - Заказчик) при проведении открытого конкурса в электронной форме на оказание услуг по осуществлению авторского надзора на объекте: Реконструкция транспортной развязки на пересечении автомобильных дорог 64 К-8 «Севастополь - порт Камышовая бухта» и 67 Н-261 «пр-т Генерала Острякова - ул. Хрусталева </w:t>
      </w:r>
      <w:r>
        <w:rPr>
          <w:rStyle w:val="CharStyle21"/>
        </w:rPr>
        <w:t xml:space="preserve">(5 </w:t>
      </w:r>
      <w:r>
        <w:rPr>
          <w:lang w:val="ru-RU" w:eastAsia="ru-RU" w:bidi="ru-RU"/>
          <w:w w:val="100"/>
          <w:spacing w:val="0"/>
          <w:color w:val="000000"/>
          <w:position w:val="0"/>
        </w:rPr>
        <w:t xml:space="preserve">км Балаклавского шоссе)», извещение №0174500001122004790 (далее - Закупка), рассмотрев представленные сторонами материалы, в соответствии со статьями </w:t>
      </w:r>
      <w:r>
        <w:rPr>
          <w:rStyle w:val="CharStyle21"/>
        </w:rPr>
        <w:t xml:space="preserve">99, </w:t>
      </w:r>
      <w:r>
        <w:rPr>
          <w:lang w:val="ru-RU" w:eastAsia="ru-RU" w:bidi="ru-RU"/>
          <w:w w:val="100"/>
          <w:spacing w:val="0"/>
          <w:color w:val="000000"/>
          <w:position w:val="0"/>
        </w:rPr>
        <w:t xml:space="preserve">106 Федерального закона от </w:t>
      </w:r>
      <w:r>
        <w:rPr>
          <w:rStyle w:val="CharStyle21"/>
        </w:rPr>
        <w:t xml:space="preserve">05 </w:t>
      </w:r>
      <w:r>
        <w:rPr>
          <w:lang w:val="ru-RU" w:eastAsia="ru-RU" w:bidi="ru-RU"/>
          <w:w w:val="100"/>
          <w:spacing w:val="0"/>
          <w:color w:val="000000"/>
          <w:position w:val="0"/>
        </w:rPr>
        <w:t xml:space="preserve">апреля </w:t>
      </w:r>
      <w:r>
        <w:rPr>
          <w:rStyle w:val="CharStyle21"/>
        </w:rPr>
        <w:t xml:space="preserve">2013 </w:t>
      </w:r>
      <w:r>
        <w:rPr>
          <w:lang w:val="ru-RU" w:eastAsia="ru-RU" w:bidi="ru-RU"/>
          <w:w w:val="100"/>
          <w:spacing w:val="0"/>
          <w:color w:val="000000"/>
          <w:position w:val="0"/>
        </w:rPr>
        <w:t xml:space="preserve">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w:t>
      </w:r>
      <w:r>
        <w:rPr>
          <w:rStyle w:val="CharStyle21"/>
        </w:rPr>
        <w:t xml:space="preserve">по </w:t>
      </w:r>
      <w:r>
        <w:rPr>
          <w:lang w:val="ru-RU" w:eastAsia="ru-RU" w:bidi="ru-RU"/>
          <w:w w:val="100"/>
          <w:spacing w:val="0"/>
          <w:color w:val="000000"/>
          <w:position w:val="0"/>
        </w:rPr>
        <w:t xml:space="preserve">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w:t>
      </w:r>
      <w:r>
        <w:rPr>
          <w:rStyle w:val="CharStyle21"/>
        </w:rPr>
        <w:t xml:space="preserve">(подрядчиков, </w:t>
      </w:r>
      <w:r>
        <w:rPr>
          <w:lang w:val="ru-RU" w:eastAsia="ru-RU" w:bidi="ru-RU"/>
          <w:w w:val="100"/>
          <w:spacing w:val="0"/>
          <w:color w:val="000000"/>
          <w:position w:val="0"/>
        </w:rPr>
        <w:t>исполнителей) для обеспечения государственных и муниципальных нужд» (далее - Административный регламент),</w:t>
      </w:r>
    </w:p>
    <w:p>
      <w:pPr>
        <w:pStyle w:val="Style18"/>
        <w:widowControl w:val="0"/>
        <w:keepNext w:val="0"/>
        <w:keepLines w:val="0"/>
        <w:shd w:val="clear" w:color="auto" w:fill="auto"/>
        <w:bidi w:val="0"/>
        <w:jc w:val="left"/>
        <w:spacing w:before="0" w:after="0" w:line="315" w:lineRule="exact"/>
        <w:ind w:left="4620" w:right="0" w:firstLine="0"/>
      </w:pPr>
      <w:r>
        <w:rPr>
          <w:lang w:val="ru-RU" w:eastAsia="ru-RU" w:bidi="ru-RU"/>
          <w:w w:val="100"/>
          <w:spacing w:val="0"/>
          <w:color w:val="000000"/>
          <w:position w:val="0"/>
        </w:rPr>
        <w:t>УСТАНОВИЛА:</w:t>
      </w:r>
    </w:p>
    <w:p>
      <w:pPr>
        <w:pStyle w:val="Style18"/>
        <w:widowControl w:val="0"/>
        <w:keepNext w:val="0"/>
        <w:keepLines w:val="0"/>
        <w:shd w:val="clear" w:color="auto" w:fill="auto"/>
        <w:bidi w:val="0"/>
        <w:jc w:val="both"/>
        <w:spacing w:before="0" w:after="0" w:line="315" w:lineRule="exact"/>
        <w:ind w:left="40" w:right="2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fldChar w:fldCharType="begin"/>
      </w:r>
      <w:r>
        <w:rPr>
          <w:rStyle w:val="CharStyle25"/>
        </w:rPr>
        <w:instrText> HYPERLINK "http://zakupki.gov.ru" </w:instrText>
      </w:r>
      <w:r>
        <w:fldChar w:fldCharType="separate"/>
      </w:r>
      <w:r>
        <w:rPr>
          <w:rStyle w:val="Hyperlink"/>
        </w:rPr>
        <w:t>http://zakupki.gov.ru</w:t>
      </w:r>
      <w:r>
        <w:fldChar w:fldCharType="end"/>
      </w:r>
      <w:r>
        <w:rPr>
          <w:rStyle w:val="CharStyle21"/>
          <w:lang w:val="en-US" w:eastAsia="en-US" w:bidi="en-US"/>
        </w:rPr>
        <w:t xml:space="preserve"> </w:t>
      </w:r>
      <w:r>
        <w:rPr>
          <w:lang w:val="ru-RU" w:eastAsia="ru-RU" w:bidi="ru-RU"/>
          <w:w w:val="100"/>
          <w:spacing w:val="0"/>
          <w:color w:val="000000"/>
          <w:position w:val="0"/>
        </w:rPr>
        <w:t>в информационно- телекоммуникационной сети «Интернет» (далее - ЕИС).</w:t>
      </w:r>
    </w:p>
    <w:p>
      <w:pPr>
        <w:pStyle w:val="Style26"/>
        <w:widowControl w:val="0"/>
        <w:keepNext w:val="0"/>
        <w:keepLines w:val="0"/>
        <w:shd w:val="clear" w:color="auto" w:fill="auto"/>
        <w:bidi w:val="0"/>
        <w:spacing w:before="0" w:after="0"/>
        <w:ind w:left="40" w:right="20" w:firstLine="700"/>
      </w:pPr>
      <w:r>
        <w:rPr>
          <w:rStyle w:val="CharStyle28"/>
          <w:i w:val="0"/>
          <w:iCs w:val="0"/>
        </w:rPr>
        <w:t xml:space="preserve">По мнению Заявителя, Комиссия Заказчика неправомерно допустила заявку </w:t>
      </w:r>
      <w:r>
        <w:rPr>
          <w:rStyle w:val="CharStyle29"/>
          <w:i w:val="0"/>
          <w:iCs w:val="0"/>
        </w:rPr>
        <w:t xml:space="preserve">победителя. </w:t>
      </w:r>
      <w:r>
        <w:rPr>
          <w:rStyle w:val="CharStyle28"/>
          <w:i w:val="0"/>
          <w:iCs w:val="0"/>
        </w:rPr>
        <w:t xml:space="preserve">В своей жалобе Заявитель указал следующие доводы: </w:t>
      </w:r>
      <w:r>
        <w:rPr>
          <w:lang w:val="ru-RU" w:eastAsia="ru-RU" w:bidi="ru-RU"/>
          <w:w w:val="100"/>
          <w:spacing w:val="0"/>
          <w:color w:val="000000"/>
          <w:position w:val="0"/>
        </w:rPr>
        <w:t>«...В соответствии с протоколом подведения итогов определения поставщика (подрядчика, исполнителя) № 0174500001122004790 от 23 ноября 2022 года победителем аукциона признается участник закупки идентификационный № 12, с ценовым предложением 242 877,06рублей (двести сорок две тысячи восемьсот семьдесят семь рублей шесть копеек).</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25 ноября 2022 года заказчиком размещён Государственный контракт № 73-ЭА-2022, заключаемый с обществом с ограниченной ответственностью «Антей-Стройинвест» (ИНН 7716230720).</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На сайте в сети интернет по адресу </w:t>
      </w:r>
      <w:r>
        <w:fldChar w:fldCharType="begin"/>
      </w:r>
      <w:r>
        <w:rPr>
          <w:color w:val="000000"/>
        </w:rPr>
        <w:instrText> HYPERLINK "https://zakupki.gov.ru/epz/contract/contractCard/com.mon-" </w:instrText>
      </w:r>
      <w:r>
        <w:fldChar w:fldCharType="separate"/>
      </w:r>
      <w:r>
        <w:rPr>
          <w:rStyle w:val="Hyperlink"/>
          <w:lang w:val="en-US" w:eastAsia="en-US" w:bidi="en-US"/>
          <w:w w:val="100"/>
          <w:spacing w:val="0"/>
          <w:position w:val="0"/>
        </w:rPr>
        <w:t>https://zakupki.gov.ru/epz/contract/contractCard/com.mon-</w:t>
      </w:r>
      <w:r>
        <w:fldChar w:fldCharType="end"/>
      </w:r>
      <w:r>
        <w:rPr>
          <w:lang w:val="en-US" w:eastAsia="en-US" w:bidi="en-US"/>
          <w:w w:val="100"/>
          <w:spacing w:val="0"/>
          <w:color w:val="000000"/>
          <w:position w:val="0"/>
        </w:rPr>
        <w:t xml:space="preserve"> info.html?reestrNumber=29200001</w:t>
      </w:r>
      <w:r>
        <w:rPr>
          <w:lang w:val="ru-RU" w:eastAsia="ru-RU" w:bidi="ru-RU"/>
          <w:w w:val="100"/>
          <w:spacing w:val="0"/>
          <w:color w:val="000000"/>
          <w:position w:val="0"/>
        </w:rPr>
        <w:t>16721000034 размещена информация о заключенном 25 ноября 2021 года между ГОСУДАРСТВЕННОЕ КАЗЕННОЕ УЧРЕЖДЕНИЕ ГОРОДА СЕВАСТОПОЛЯ "ДИРЕКЦИЯ ПО РАЗВИТИЮ ДОРОЖНО-ТРАНСПОРТНОЙ ИНФРАСТРУКТУРЫ ГОРОДА СЕВАСТОПОЛЯ" (ГКУ "ДИРЕКЦИЯ") и обществом с ограниченной ответственностью «Антей-Стройинвест» (ИНН 7716230720) государственном контракте на строительство объекта: Реконструкция транспортной развязки на пересечении автомобильных дорог 64 К-8 «Севастополь - порт Камышовая бухта» и 67 Н-261 «пр-т Генерала Острякова - ул. Хрусталева (5 км Балаклавского шоссе)».</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Таким образом, в соответствии с протоколом подведения итогов определения поставщика (подрядчика, исполнителя) № 0174500001122004790 от 23 ноября 2022 года общество с ограниченной ответственностью «Антей- Стройинвест» (ИНН 7716230720) является одновременно на объекте: Реконструкция транспортной развязки на пересечении автомобильных дорог 64 К-8 «Севастополь - порт Камышовая бухта» и 67 Н-261 «пр-т Генерала Острякова - ул. Хрусталева (5 км Балаклавского шоссе)», подрядчиком и лицом осуществляющий авторский надзор.</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Согласно части 2 статьи 53 Градостроительного кодекса РФ (далее - ГрК РФ) строительный контроль проводится лицом, осуществлякпцим строительство. В случае же осуществления строительства (реконструкции, капитального ремонта) на основании договора строительный контроль проводится также застройщиком или заказчиком либо привлекаемым ими на основании договора физическим или юридическим лицом.</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При этом застройщик или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Согласно ч. 3 ст. 52 ГрК РФ лицом, осуществляющим строительство (реконструкцию, капитальный ремонт) объекта капитального строительства, может являться застройщик либо привлекаемое застройщиком или заказчиком на основании договора физическое или юридическое лицо. Таким образом, если строительные работы выполняются подрядчиком (генеральным подрядчиком), то именно он является лицом, осуществляющим строительство.</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Эти нормы корреспондируют, положениям Гражданского кодекса РФ. Согласно ст. 748 этого кодекса заказчик вправе 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А в силу ст. 749 ГК РФ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заказчику услуг такого рода с соответствующим инженером (инженерной организацией).</w:t>
      </w:r>
    </w:p>
    <w:p>
      <w:pPr>
        <w:pStyle w:val="Style26"/>
        <w:widowControl w:val="0"/>
        <w:keepNext w:val="0"/>
        <w:keepLines w:val="0"/>
        <w:shd w:val="clear" w:color="auto" w:fill="auto"/>
        <w:bidi w:val="0"/>
        <w:spacing w:before="0" w:after="0" w:line="224" w:lineRule="exact"/>
        <w:ind w:left="40" w:right="40" w:firstLine="720"/>
      </w:pPr>
      <w:r>
        <w:rPr>
          <w:lang w:val="ru-RU" w:eastAsia="ru-RU" w:bidi="ru-RU"/>
          <w:w w:val="100"/>
          <w:spacing w:val="0"/>
          <w:color w:val="000000"/>
          <w:position w:val="0"/>
        </w:rPr>
        <w:t>Из приведенных норм следует, что, если строительство осуществляется на основании договора, строительный контроль должен осуществляться как лицом, непосредственно осугцествляющим строительство (то есть подрядчиком, генеральным подрядчиком), так и заказчиком (застройщиком) - наряду, но никак не вместо подрядчика.</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Это следует и из норм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РФ от 21.06.2010 № 468 (далее - Положение). Конкретный перечень мероприятий, которые проводятся подрядчиком в рамках осуществления строительного контроля, приведен в п. 5 Положения.</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Применительно к заказчику соответствующий перечень содержится в п. 6 Положения. Как видно из последнего перечня, именно на заказчика (застройщика) возложен "итоговый" контроль. В частности, согласно пп. "а" п. 6 Положения именно заказчик в ходе проведения строительного контроля проверяет полноту и соблюдение сроков выполнения подрядчиком контроля, а также достоверность документирования его результатов.</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Таким образом, подрядчику (генеральному подрядчику) по договору строительного подряда не могут быть переданы функции заказчика по контролю за строительством.</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Заказчик (застройщик) обязан обеспечить строительный контроль либо путем личного его осуществления, либо путем возложения данной обязанности налицо, не являющееся подрядчиком.</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Аналогичной позиции придерживаются суды (Постановление Седьмого арбитражного апелляционного суда от 19.08.2015 № 07АП-6642/15, постановление Пятого арбитражного апелляционного суда от 01.10.2014 № 05АП- 11121/14).</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Кроме того, в соответствии с пунктом 3 части 1 статьи 39 и частью 1 статьи 41 Федерального закона от 30 декабря 2009 г. № 384-ФЗ "Технический регламент о безопасности зданий и сооружений" (далее - Технический регламент) строительный контроль является обязательной формой оценки соответствия зданий и сооружений, а также связанных со зданиями и с сооружениями процессов проектирования (включая изыскания), строительства, монтажа, наладки и утилизации (сноса), а авторский надзор - добровольной.</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Согласно пункту 3 части 2 статьи 2 Технического регламента авторский надзор - это контроль лица, осуществившего подготовку проектной документации, за соблюдением в процессе строительства требований проектной документации.</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В соответствии с пунктом 4.6 СП 48.13330.2019 "СНиП 12-01-2004 Организация строительства”, утвержденного приказом Минстроя России от 24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861/пр (далее - СП 48.13330.2019), в базовые функции застройщика на период строительства входят как проведение строительного контроля застройщика (технического заказчика), так и привлечение для авторского надзора за строительством объекта лица, осугцествляющего подготовку проектной документации, либо лица, обладающего соответствующими квалификационными требованиями в области подготовки проектной документации.</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В силу пункта 9.2 СП 48.13330.2019 лицо, осуществляющее подготовку проектной документации (проектная организация), осуществляет авторский надзор согласно положениям Свода правил "Положение об авторском надзоре за строительством зданий и сооружений", утвержденным приказом Минстроя России от 19 февраля 2016 г. № 98/пр (далее - СП 246.1325800.2016). Кроме того, установлено, что при строительстве опасных производственных объектов, особо опасных, технически сложных и уникальных объектов, а также при приспособлении объекта культурного наследия для современного использования осуществляется обязательный авторский надзор проектной организации. В остальных случаях он осуществляется по решению застройщика (технического заказчика). Порядок осуществления и функции авторского надзора установлен СП 246.1325800.2016.</w:t>
      </w:r>
    </w:p>
    <w:p>
      <w:pPr>
        <w:pStyle w:val="Style26"/>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Следует отметить, что СП 246.1325800.2016 включен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w:t>
      </w:r>
      <w:r>
        <w:rPr>
          <w:lang w:val="en-US" w:eastAsia="en-US" w:bidi="en-US"/>
          <w:w w:val="100"/>
          <w:spacing w:val="0"/>
          <w:color w:val="000000"/>
          <w:position w:val="0"/>
        </w:rPr>
        <w:t xml:space="preserve">N </w:t>
      </w:r>
      <w:r>
        <w:rPr>
          <w:lang w:val="ru-RU" w:eastAsia="ru-RU" w:bidi="ru-RU"/>
          <w:w w:val="100"/>
          <w:spacing w:val="0"/>
          <w:color w:val="000000"/>
          <w:position w:val="0"/>
        </w:rPr>
        <w:t>384-ФЗ "Техническийрегламент о безопасности зданий и сооружений", утвержденный приказом Госстандарта от 2 апреля 2020 г. № 687.</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Авторский надзор, выполняемый проектной организацией, осуществляется во взаимодействии со специалистами, осуществляющими строительный контроль в соответствии с пунктом 3 Положения № 468 (пункт 4.7 СП 246.1325800.2016), на основании договора (контракта), заключенного между застройщиком, заказчиком, техническим заказчиком и проектировщиком, или организационно-распорядительного документа в случае, если проектировщиком является одно из структурных подразделений заказчика или подрядчика (пункт 6.1 СП 246.1325800.2016).</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соответствии с частью 1 статьи 53 Кодекса проверка соответствия выполняемых работ проектной документации является одной из составляющей строительного контроля. Проведение указанных работ является в силу статьи 53 Кодекса обязательным, тогда как привлечение лица, осуществляющего подготовку проектной документации, для проверки соответствш выполняемых работ проектной документации (авторский надзор), согласно части 2 статьи 53 Кодекса осуществляется по инициативе застройщика или технического заказчика.</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Сказанное в полной мере относится и к осуществлению авторского надзора. В связи с этим, отметим, что ГрК РФ не содержит понятия "авторский надзор". На практике под "авторским надзором" понимается услуга по надзору автора проекта и других разработчиков проектной документации (физических и юридических лиц) за строительством, осуществляемая в целях обеспечения соответствия решений, содержащихся в рабочей документации, выполняемым строительно-монтажным работам на объекте (п. 3.1 Свода правил по проектированию и строительству СП 11-110-99 "Авторский надзор за строительством зданий и сооружений", утвержденного постановлением Госстроя России от 10.06.1999 № 44).</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Указанной нормой Свода правил также предусмотрено, что необходимость проведения авторского надзора относится к компетенции заказчика и, как правило, устанавливается в задании на проектирование объекта. В таком определении "авторский надзор"рассматривается как часть строительного контроля (ст. 53 ГрК РФ), который проводится в процессе строительства, реконструкции, капитального ремонта объектов капитального строительства, в том числе и с целью проверки соответствия выполняемых работ проектной документации.</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Таким образом, с точки зрения ГрК РФ, авторский надзор, являясь частью строительного контроля, при строительстве объекта на основании договора подряда должен проводиться в том числе и заказчиком (застройщиком). Это полномочие не может быть делегировано заказчиком (застройщиком) подрядчику...»</w:t>
      </w:r>
    </w:p>
    <w:p>
      <w:pPr>
        <w:pStyle w:val="Style26"/>
        <w:widowControl w:val="0"/>
        <w:keepNext w:val="0"/>
        <w:keepLines w:val="0"/>
        <w:shd w:val="clear" w:color="auto" w:fill="auto"/>
        <w:bidi w:val="0"/>
        <w:spacing w:before="0" w:after="0"/>
        <w:ind w:left="40" w:right="20" w:firstLine="700"/>
      </w:pPr>
      <w:r>
        <w:rPr>
          <w:rStyle w:val="CharStyle28"/>
          <w:i w:val="0"/>
          <w:iCs w:val="0"/>
        </w:rPr>
        <w:t xml:space="preserve">Заказчик с доводами жалобы не согласен, считает жалобу не подлежащей удовлетворению. В </w:t>
      </w:r>
      <w:r>
        <w:rPr>
          <w:rStyle w:val="CharStyle30"/>
          <w:i w:val="0"/>
          <w:iCs w:val="0"/>
        </w:rPr>
        <w:t xml:space="preserve">СВОИХ </w:t>
      </w:r>
      <w:r>
        <w:rPr>
          <w:rStyle w:val="CharStyle28"/>
          <w:i w:val="0"/>
          <w:iCs w:val="0"/>
        </w:rPr>
        <w:t xml:space="preserve">возражениях указал следующее: </w:t>
      </w:r>
      <w:r>
        <w:rPr>
          <w:lang w:val="ru-RU" w:eastAsia="ru-RU" w:bidi="ru-RU"/>
          <w:w w:val="100"/>
          <w:spacing w:val="0"/>
          <w:color w:val="000000"/>
          <w:position w:val="0"/>
        </w:rPr>
        <w:t>«...Согласно ч. 1 ст. 59 Закона о контрактной системе, электронный аукцион или аукцион в электронной форме, это закупочная процедура, в которой информагщю о закупке Заказчик сообщает неограниченному числу лиц, с помощью размещения её в единой информационной системе, размегцая извещение о проведении открытого аукциона, документацию о нем, при этом требования к потенциальным участникам закупки, должны быть едиными. Само проведение электронного аукциона должна обеспечить электронная площадка, её оператор. Прогресс открытого электронного аущиона жестко регламентирован статьями 59, 62-69, 71, 83.2 Закона о контрактной системе.</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Есть другое определение электронного аущиона, которое гласит, что электронный аукцион, это торги, проводимые на электронной площадке, в электронном виде, победителем которых признаётся лицо, предложившее наиболее низкую цену государственного (муниципального) контракта. Справедливости ради, необходимо отметить, что в классическом понимании процедура на понижение стоимости предложения называется редущионном. (Открытый аукцион в электронной форме).</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Принять участие в электронном аукционе может любое юридическое лицо независимо от организационно-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 соответствующее предъявляемым требованиям. Основным критерием выбора победителя на открытом аукционе является наименьшее ценовое предложение на торгах. Для этого необходимо подать заявку дистанционным способом на электронной торговой площадке (ЭТИ). Так называют сайт, созданный для проведения электронных торгов, в том числе открытых аукционов.</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Таким образом, электронный аукцион</w:t>
      </w:r>
      <w:r>
        <w:rPr>
          <w:rStyle w:val="CharStyle31"/>
          <w:i w:val="0"/>
          <w:iCs w:val="0"/>
        </w:rPr>
        <w:t xml:space="preserve"> — </w:t>
      </w:r>
      <w:r>
        <w:rPr>
          <w:lang w:val="ru-RU" w:eastAsia="ru-RU" w:bidi="ru-RU"/>
          <w:w w:val="100"/>
          <w:spacing w:val="0"/>
          <w:color w:val="000000"/>
          <w:position w:val="0"/>
        </w:rPr>
        <w:t>это торги, проводимые в электронном виде на электронных площадках, победителем которых признается участник, предложивший наиболее низкую цену государственного (муниципального) контракта. Порядок проведения электронного аукциона регламентирован статьями 59, 62-69, 71, 83.2 Закона о контрактной системе...».</w:t>
      </w:r>
    </w:p>
    <w:p>
      <w:pPr>
        <w:pStyle w:val="Style26"/>
        <w:widowControl w:val="0"/>
        <w:keepNext w:val="0"/>
        <w:keepLines w:val="0"/>
        <w:shd w:val="clear" w:color="auto" w:fill="auto"/>
        <w:bidi w:val="0"/>
        <w:spacing w:before="0" w:after="0" w:line="248" w:lineRule="exact"/>
        <w:ind w:left="40" w:right="20" w:firstLine="700"/>
      </w:pPr>
      <w:r>
        <w:rPr>
          <w:rStyle w:val="CharStyle28"/>
          <w:i w:val="0"/>
          <w:iCs w:val="0"/>
        </w:rPr>
        <w:t xml:space="preserve">Уполномоченный орган с доводами жалобы </w:t>
      </w:r>
      <w:r>
        <w:rPr>
          <w:rStyle w:val="CharStyle29"/>
          <w:i w:val="0"/>
          <w:iCs w:val="0"/>
        </w:rPr>
        <w:t xml:space="preserve">не согласен, считает жалобу не подлежащей </w:t>
      </w:r>
      <w:r>
        <w:rPr>
          <w:rStyle w:val="CharStyle28"/>
          <w:i w:val="0"/>
          <w:iCs w:val="0"/>
        </w:rPr>
        <w:t xml:space="preserve">удовлетворению. В своих возражениях указал следующее: </w:t>
      </w:r>
      <w:r>
        <w:rPr>
          <w:lang w:val="ru-RU" w:eastAsia="ru-RU" w:bidi="ru-RU"/>
          <w:w w:val="100"/>
          <w:spacing w:val="0"/>
          <w:color w:val="000000"/>
          <w:position w:val="0"/>
        </w:rPr>
        <w:t>«...В соответствии с протоколом подведения итогов электронного аукциона извещение № 0174500001122004790, размещённого в ЕИС 23.11.2022 все заявки участников закупки соответствуют требованиям.</w:t>
      </w:r>
    </w:p>
    <w:p>
      <w:pPr>
        <w:pStyle w:val="Style26"/>
        <w:widowControl w:val="0"/>
        <w:keepNext w:val="0"/>
        <w:keepLines w:val="0"/>
        <w:shd w:val="clear" w:color="auto" w:fill="auto"/>
        <w:bidi w:val="0"/>
        <w:spacing w:before="0" w:after="0" w:line="224" w:lineRule="exact"/>
        <w:ind w:left="40" w:right="20" w:firstLine="700"/>
      </w:pPr>
      <w:r>
        <w:rPr>
          <w:lang w:val="ru-RU" w:eastAsia="ru-RU" w:bidi="ru-RU"/>
          <w:w w:val="100"/>
          <w:spacing w:val="0"/>
          <w:color w:val="000000"/>
          <w:position w:val="0"/>
        </w:rPr>
        <w:t>Проверка соответствия информации и документов заявки требованиям, установленным в извещении об осуществлении закупки, осуществляется комиссией по осуществлению закупок. При выявлении в документах заявки несоответствия информации и документов требованиям, установленным в извещении об осуществлении закупки, комиссия по осуществлению закупок отклоняет заявку такого участника по основаниям, предусмотренным частью 12 статьи 48 Закона о контрактной системе.</w:t>
      </w:r>
    </w:p>
    <w:p>
      <w:pPr>
        <w:pStyle w:val="Style26"/>
        <w:widowControl w:val="0"/>
        <w:keepNext w:val="0"/>
        <w:keepLines w:val="0"/>
        <w:shd w:val="clear" w:color="auto" w:fill="auto"/>
        <w:bidi w:val="0"/>
        <w:spacing w:before="0" w:after="0" w:line="257" w:lineRule="exact"/>
        <w:ind w:left="40" w:right="20" w:firstLine="700"/>
      </w:pPr>
      <w:r>
        <w:rPr>
          <w:lang w:val="ru-RU" w:eastAsia="ru-RU" w:bidi="ru-RU"/>
          <w:w w:val="100"/>
          <w:spacing w:val="0"/>
          <w:color w:val="000000"/>
          <w:position w:val="0"/>
        </w:rPr>
        <w:t>На основании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При проведении электронного аукциона все участники закупки выразили своё согласие на оказание услуги с использованием функционала электронной торговой площадки. Согласно статье 49 Закона о контрактной системе победителем закупки признаётся участник, подавший</w:t>
      </w:r>
    </w:p>
    <w:p>
      <w:pPr>
        <w:pStyle w:val="Style26"/>
        <w:widowControl w:val="0"/>
        <w:keepNext w:val="0"/>
        <w:keepLines w:val="0"/>
        <w:shd w:val="clear" w:color="auto" w:fill="auto"/>
        <w:bidi w:val="0"/>
        <w:jc w:val="left"/>
        <w:spacing w:before="0" w:after="0" w:line="180" w:lineRule="exact"/>
        <w:ind w:left="40" w:right="0" w:firstLine="0"/>
      </w:pPr>
      <w:r>
        <w:rPr>
          <w:lang w:val="ru-RU" w:eastAsia="ru-RU" w:bidi="ru-RU"/>
          <w:w w:val="100"/>
          <w:spacing w:val="0"/>
          <w:color w:val="000000"/>
          <w:position w:val="0"/>
        </w:rPr>
        <w:t>наименьшее ценовое предложение...»</w:t>
      </w:r>
    </w:p>
    <w:p>
      <w:pPr>
        <w:pStyle w:val="Style26"/>
        <w:widowControl w:val="0"/>
        <w:keepNext w:val="0"/>
        <w:keepLines w:val="0"/>
        <w:shd w:val="clear" w:color="auto" w:fill="auto"/>
        <w:bidi w:val="0"/>
        <w:spacing w:before="0" w:after="0" w:line="248" w:lineRule="exact"/>
        <w:ind w:left="40" w:right="20" w:firstLine="700"/>
      </w:pPr>
      <w:r>
        <w:rPr>
          <w:rStyle w:val="CharStyle28"/>
          <w:i w:val="0"/>
          <w:iCs w:val="0"/>
        </w:rPr>
        <w:t xml:space="preserve">Заказчик предоставил дополнительные возражения, в которых указал следующее: </w:t>
      </w:r>
      <w:r>
        <w:rPr>
          <w:rStyle w:val="CharStyle31"/>
          <w:i w:val="0"/>
          <w:iCs w:val="0"/>
        </w:rPr>
        <w:t xml:space="preserve">«.. </w:t>
      </w:r>
      <w:r>
        <w:rPr>
          <w:lang w:val="ru-RU" w:eastAsia="ru-RU" w:bidi="ru-RU"/>
          <w:w w:val="100"/>
          <w:spacing w:val="0"/>
          <w:color w:val="000000"/>
          <w:position w:val="0"/>
        </w:rPr>
        <w:t>.Согласно части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Перечень случаев осуществления закупки у единственного поставщика (подрядчика, исполнителя) установлен частью 1 статьи 93 Закона о контрактной системе и является исчерпывающим.</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соответствии с пунктом 19 части 1 статьи 93 Закона о контрактной системе закупка у единственного поставщика (подрядчика, исполнителя) может осуществляться заказчиком в случае заключения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Таким образом, заказчик вправе заключить контракт на оказание услуг по проведению авторского надзора за строительством, реконструкцией, капитальным ремонтом объекта капитального строительства только с автором проектной документации по объекту как с единственным поставщиком (подрядчиком, исполнителем) на основании пункта 19 статьи 93 Закона о контрактной системе.</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При этом, в указанном в обращении случае, заказчик вправе осуществить закупку услуг авторского надзора за строительством, реконструкцией, капитальным ремонтом объекта капитального строительства у иного поставщика (подрядчика, исполнителя), не являющегося автором проектной документации указанного объекта, конкурентными способами в соответствии с требованиями Закона о контрактной системе.</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Статьей 11 Федерального закона от 01.04.2020 № 98-ФЗ «О внесении изменений в отдельные законодательные акты Российской Федерации по вопросам предупреждения и ликвидации чрезвычайных ситуаций» внесены изменения в статью 112 Закона о контрактной системе, предусматривающие право Правительства Российской Федерации, высших исполнительных органов государственной власти субъектов Российской Федерации, местных администраций до 2024 года утвердить перечни объектов капитального строительства, в отношении которых устанавливаются особенности осуществления закупок, предусмотренные частями 56 - 63 статьи 112 Закона о контрактной системе, в том числе возможность включения в один предмет закупки работ по подготовке проектной документации и (или) выполнению инженерных изысканий, выполнению работ по строительству, реконструкции и (или) капитальному ремонту объекта капитального строительства, а также поставке оборудования.</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Таким образом, в настоящее время предусмотрена возможность осуществления закупки одновременно работ по подготовке проектной документации и выполнению работ по строительству объекта капитального строительства.</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2). В силу пункта 4 Положения функции строительного контроля, утв. Постановлением Правительства РФ от 21.06.2010 №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 (вместе с "Положением о проведении строительного контроля при осуществлении строительства, реконструкции и капитального ремонта объектов капитального строительства") вправе осуществлять работники подрядчика и заказчика, на которых в установленном порядке возложена обязанность по осуществлению такого контроля.</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соответствии с п. 5. Постановление Правительства РФ от 21.06.2010 № 468 строительный контроль, осуществляемый подрядчиком, включает проведение следующих контрольных мероприятий:</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а) проверка качества строительных материалов, изделий, конструкций и оборудования, поставленных для строительства объекта капитального строительства (далее соответственно - продукция, входной контроль);</w:t>
      </w:r>
    </w:p>
    <w:p>
      <w:pPr>
        <w:pStyle w:val="Style26"/>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б) проверка соблюдения установленных норм и правил складирования и хранения применяемой продукции;</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проверка соблюдения последовательности и состава технологических операций при осуществлении строительства объекта капитального строительства;</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г) совместно с заказчиком освидетельствование работ, скрываемых последуюгцими работами (далее - скрытые работы), и промежуточная приемка возведенных строительных конструкций, влияющих на безопасность объекта капитального строительства, участков сетей инженерно-технического обеспечения;</w:t>
      </w:r>
    </w:p>
    <w:p>
      <w:pPr>
        <w:pStyle w:val="Style26"/>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д) приемка законченных видов (этапов) работ;</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е) проверка совместно с заказчиком соответствия законченного строительством объекта требованиям проектной и подготовленной на ее основе рабочей документации, результатам инженерных изысканий, требованиям градостроительного плана земельного участка, технических регламентов.</w:t>
      </w:r>
    </w:p>
    <w:p>
      <w:pPr>
        <w:pStyle w:val="Style26"/>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документаъщи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26"/>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 Так, в пп. 3 п. 2 ст. 2 Закона № 384-ФЗ законодатель определяет его как контроль лица, осуществившего подготовку проектной документации, за соблюдением авторских решений в процессе строительства.</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3 части 2 статьи 2 Федерального закона от 30 декабря 2009 г. № 384-ФЗ "Технический регламент о безопасности зданий и сооружений" авторский надзор - контроль лица, осуществившего подготовку проектной документации, за соблюдением в процессе строительства требований проектной документации.</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в соответствии с частью 1 статьи 748 Гражданского кодекса Российской Федерации (далее</w:t>
      </w:r>
      <w:r>
        <w:rPr>
          <w:rStyle w:val="CharStyle31"/>
          <w:i w:val="0"/>
          <w:iCs w:val="0"/>
        </w:rPr>
        <w:t xml:space="preserve"> - </w:t>
      </w:r>
      <w:r>
        <w:rPr>
          <w:lang w:val="ru-RU" w:eastAsia="ru-RU" w:bidi="ru-RU"/>
          <w:w w:val="100"/>
          <w:spacing w:val="0"/>
          <w:color w:val="000000"/>
          <w:position w:val="0"/>
        </w:rPr>
        <w:t>ГК РФ) в рамках выполнения работ по договору строительного подряда заказчик вправе 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со статьей 749 ГК РФ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заказчику услуг такого рода с соответствующим инженером (инженерной организацией). В этом случае в договоре строительного подряда определяются функции такого инженера (инженерной организации), связанные с последствиями его действий для подрядчика.</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3 Положения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 Федерации от 21 июня 2010 г. № 468, строительный контроль проводится лицом, осуществляющим строительство; застройщиком, заказчиком либо организацией, осуществляющей подготовку проектной документации и привлеченной заказчиком (застройщиком) по договору для осуществления строительного контроля (в части проверки соответствия выполняемых работ проектной документации) .</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с п. 4.1 Приказа Минстроя России от 19. 02.2016 № 98/пр "Об утверждении свода правил "Положение об авторском надзоре за строительством зданий и сооружений" (вместе с "СП 246.1325800.2016. Свод правил...") авторский надзор является частью строительного контроля, который проводится лицом, осуществившим подготовку проектной и, на ее основе, рабочей документации.</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Заказчик (застройщик, технический заказчик) с согласия разработчика проектной документации вправе привлекать к авторскому надзору лицо, осуществившее подготовку рабочей документации.</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с п. 6.1.3 Приказ Минстроя России от 19.02.2016 № 98/пр "Об утверждении свода правил "Положение об авторском надзоре за строительством зданий и сооружений" (вместе с "СП 246.1325800.2016. Свод правил...")</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случае, если лицо, осуществившее разработку проектной документации, подтвердит, что оно не имеет возможности осуществлять авторский надзор за строительством, заказчик вправе привлекать как на выполнение всего комплекса работ по осуществлению авторского надзора, так и по отдельным разделена проекта и видам работ, любых юридических и физических лиц, при условии соответствия таких лиц законодательным требованиям к соответствующему виду деятельности.</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Положениями градостроительного законодательства установлено, что осуществление строительного контроля при строительстве, реконструкции, капитальном ремонте обязательное, а проведение авторского надзора возможно только в том случае, если в проектной документации имеется архитектурная часть. При этом застройщик либо подрядчик вправе не привлекать автора архитектурного проекта с его согласия к разработке документации для строительства и к авторскому надзору за строительством архитектурного объекта при условии реатзагрли архитектурного проекта без изменений (статья 20 Закона </w:t>
      </w:r>
      <w:r>
        <w:rPr>
          <w:lang w:val="en-US" w:eastAsia="en-US" w:bidi="en-US"/>
          <w:w w:val="100"/>
          <w:spacing w:val="0"/>
          <w:color w:val="000000"/>
          <w:position w:val="0"/>
        </w:rPr>
        <w:t xml:space="preserve">N </w:t>
      </w:r>
      <w:r>
        <w:rPr>
          <w:lang w:val="ru-RU" w:eastAsia="ru-RU" w:bidi="ru-RU"/>
          <w:w w:val="100"/>
          <w:spacing w:val="0"/>
          <w:color w:val="000000"/>
          <w:position w:val="0"/>
        </w:rPr>
        <w:t>169-ФЗ).</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пунктом 4.6 СП 48.13330.2019 "СНиП 12-01-2004 Организация строительства", утвержденного приказом Минстроя России от 24 декабря 2019 г. № 861/пр (далее - СП 48.13330.2019), в базовые функции застройщика на период строительства входят как проведение строительного контроля застройщика (технического заказчика), так и привлечение для авторского надзора за строительством объекта лица, осуществляющего подготовку проектной документации, либо лица, обладающего соответствующими квалификационными требованиями в области подготовки проектной документации .</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 5.3.8 СП 86.13330.2022 функции строительного контроля по видам контролируемых работ при наличии соответствующих квалификационных удостоверений вправе осуществлять работники подрядчика и заказчика, а также представители авторского надзора, на которых в установленном порядке возложены функции по осуществлению такого контроля, включенные в национальный реестр специалистов в области архитектурно- строительного проектирования.</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силу с п. 9.1.4 ГОСТ Р 59583-2021 функции строительного контроля вправе осуществлять работники подрядчика и заказчика, на которых в установленном порядке возложена обязанность по осуществлению такого контроля.</w:t>
      </w:r>
    </w:p>
    <w:p>
      <w:pPr>
        <w:pStyle w:val="Style26"/>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Как считает ответственный редактор постатейного Комментария к Гражданскому кодексу РФ профессор О.Н. Садиков, "договором подряда на подрядчика может быть возложено осуществление авторского надзора. В некоторых случаях ТАКАЯ ОБЯЗАННОСТЬ (выделено авт.) установлена законом. Так, в Законе "О промышленной безопасности опасных производственных объектов"предусмотрено осуществление авторского надзора организацией, разрабатывавшей проектную документацию, в процессе строительства, расширения, реконструкции, технического перевооружения, консервации и ликвидации опасного производственного объекта».</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силу с п. 2.2. Постановления Госстроя СССР от 15.04.1985 № 48 «Об утверждении СНиП 1.06.05-85 "Положение об авторском надзоре проектных организаций за строительством, предприятий, зданий и сооружений»</w:t>
      </w:r>
    </w:p>
    <w:p>
      <w:pPr>
        <w:pStyle w:val="Style26"/>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Работники авторского надзора ведут журнал авторского надзора по прилагаемой форме (не приводится).</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Журнал авторского надзора передается заказчику генеральной проектной организацией в сроки, устанавливаемые план ом-графиком.</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Журнал должен быть прошнурован (страницы его должны быть пронумерованы), подписан руководителем генеральной проектной организации и скреплен подписью и печатью заказчика.</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Оформленный журнал авторского надзора заказчиком передается генеральному подрядчику и должен находиться на площадке строительства до его окончания.</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Журнал авторского надзора выдается генеральным подрядчиком работникам проектных организаций, осуществляющих авторский надзор, по их требованию.</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Производители работ строительно-монтажных организаций и представитель заказчика обязаны делать в журнале авторского надзора отметки о выполнении указаний работников проектных организаций, осуществляющих авторский надзор.</w:t>
      </w:r>
    </w:p>
    <w:p>
      <w:pPr>
        <w:pStyle w:val="Style26"/>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Ответственность за своевременное и качественное выполнение требований авторского надзора, а также за сохранность и содержание в надлежащем виде журнала авторского надзора несет руководитель генеральной подрядной организации (треста, управления) ши назначаемый его приказом ответственный представитель организации.</w:t>
      </w:r>
    </w:p>
    <w:p>
      <w:pPr>
        <w:pStyle w:val="Style26"/>
        <w:widowControl w:val="0"/>
        <w:keepNext w:val="0"/>
        <w:keepLines w:val="0"/>
        <w:shd w:val="clear" w:color="auto" w:fill="auto"/>
        <w:bidi w:val="0"/>
        <w:spacing w:before="0" w:after="0" w:line="215" w:lineRule="exact"/>
        <w:ind w:left="20" w:right="40" w:firstLine="700"/>
      </w:pPr>
      <w:r>
        <w:rPr>
          <w:lang w:val="ru-RU" w:eastAsia="ru-RU" w:bidi="ru-RU"/>
          <w:w w:val="100"/>
          <w:spacing w:val="0"/>
          <w:color w:val="000000"/>
          <w:position w:val="0"/>
        </w:rPr>
        <w:t>После приемки объекта в эксплуатацию генеральный подрядчик передает журнал авторского надзора для хранения заказчику.</w:t>
      </w:r>
    </w:p>
    <w:p>
      <w:pPr>
        <w:pStyle w:val="Style26"/>
        <w:widowControl w:val="0"/>
        <w:keepNext w:val="0"/>
        <w:keepLines w:val="0"/>
        <w:shd w:val="clear" w:color="auto" w:fill="auto"/>
        <w:bidi w:val="0"/>
        <w:spacing w:before="0" w:after="0" w:line="262" w:lineRule="exact"/>
        <w:ind w:left="20" w:right="40" w:firstLine="700"/>
      </w:pPr>
      <w:r>
        <w:rPr>
          <w:lang w:val="ru-RU" w:eastAsia="ru-RU" w:bidi="ru-RU"/>
          <w:w w:val="100"/>
          <w:spacing w:val="0"/>
          <w:color w:val="000000"/>
          <w:position w:val="0"/>
        </w:rPr>
        <w:t>Журнал авторского надзора может вестись по строительству предприятия в целом или по строительству отдельных цехов, зданий и сооружений, а также по пусковым комплексам...»</w:t>
      </w:r>
    </w:p>
    <w:p>
      <w:pPr>
        <w:pStyle w:val="Style32"/>
        <w:widowControl w:val="0"/>
        <w:keepNext/>
        <w:keepLines/>
        <w:shd w:val="clear" w:color="auto" w:fill="auto"/>
        <w:bidi w:val="0"/>
        <w:spacing w:before="0" w:after="0"/>
        <w:ind w:left="20" w:right="40" w:firstLine="700"/>
      </w:pPr>
      <w:bookmarkStart w:id="3" w:name="bookmark3"/>
      <w:r>
        <w:rPr>
          <w:lang w:val="ru-RU" w:eastAsia="ru-RU" w:bidi="ru-RU"/>
          <w:w w:val="100"/>
          <w:spacing w:val="0"/>
          <w:color w:val="000000"/>
          <w:position w:val="0"/>
        </w:rPr>
        <w:t>Комиссия Управления, рассмотрев все имеющиеся в деле материалы и документы, доводы жалобы, изучив возражения Заказчика, установила следующее:</w:t>
      </w:r>
      <w:bookmarkEnd w:id="3"/>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14.11.2022 года Заказчиком в Единой информационной системе было размещено извещение о проведении электронного аукциона №0174500001122004790 на оказание услуг по осуществлению авторского надзора на объекте: Реконструкция транспортной развязки на пересечении автомобильных дорог 64 К-8 «Севастополь - порт Камышовая бухта» и 67 Н-261 «пр-т Генерала Острякова - ул. Хрусталева (5 км Балаклавского шоссе)».</w:t>
      </w:r>
    </w:p>
    <w:p>
      <w:pPr>
        <w:pStyle w:val="Style34"/>
        <w:widowControl w:val="0"/>
        <w:keepNext w:val="0"/>
        <w:keepLines w:val="0"/>
        <w:shd w:val="clear" w:color="auto" w:fill="auto"/>
        <w:bidi w:val="0"/>
        <w:spacing w:before="0" w:after="0"/>
        <w:ind w:left="20" w:right="0"/>
      </w:pPr>
      <w:r>
        <w:rPr>
          <w:lang w:val="ru-RU" w:eastAsia="ru-RU" w:bidi="ru-RU"/>
          <w:w w:val="100"/>
          <w:spacing w:val="0"/>
          <w:color w:val="000000"/>
          <w:position w:val="0"/>
        </w:rPr>
        <w:t>Начальная максимальна цена контракта установлена в размере - 3 808 195,27 рублей.</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На участие в указанном электронном аукционе было подано 5 (пять) заявок, все они соответствовали требованиям Заказчика, снижение составила 93,62%.</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Исходя из сути жалобы Заявителя, установлено что, согласно протоколу подведения итогов определения поставщика (подрядчика, исполнителя) от 23.11.2022 №ИЭА1 победителем данной закупки было признано Общество с ограниченной ответственностью «Антей-Стройинвест» (идентификационный номер участника №2) с ценовым предложением 242 877,06 рублей. Заявитель полагает, что данное решение было принято неправомерно в силу следующего.</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В соответствии с информацией, размещенной в ЕИС, 25.11.2021 года Государственное казенное учреждение города Севастополя «Дирекция по развитию дорожно-транспортной инфраструктуры города Севастополя» заключило с ООО «Антей-Стройинвест» на основании Распоряжение губернатора города Севастополя от 24.09.2021 № 438-РГ государственный контракт № 42-ЕП-2021 на выполнение работ по реконструкции транспортной развязки на пересечении автомобильных дорог 64 К-8 «Севастополь - порт Камышовая бухта» и 67 Н-261 «пр-т Генерала Острякова - ул. Хрусталева (5 км Балаклавского шоссе)».</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Таким образом, одна и та же организация является и исполнителем работ, и организацией, выполняющей авторский надзор.</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По мнению подателя жалобы, в связи с тем, что контракт выполнение работ по реконструкции транспортной развязки на пересечении автомобильных дорог 64 К-8 «Севастополь - порт Камышовая бухта» и 67 Н-261 «пр-т Генерала Острякова - ул. Хрусталева (5 км Балаклавского шоссе)» заключен с ООО «Антей- Стройинвест», Заказчик не вправе заключать контракт на авторский надзор с данной организацией.</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На основании изложенного, податель жалобы считает, что Комиссия Заказчика признала победителем закупки «Антей-Стройинвест» с нарушением требований законодательства о контрактной системе в сфере закупок.</w:t>
      </w:r>
    </w:p>
    <w:p>
      <w:pPr>
        <w:pStyle w:val="Style34"/>
        <w:widowControl w:val="0"/>
        <w:keepNext w:val="0"/>
        <w:keepLines w:val="0"/>
        <w:shd w:val="clear" w:color="auto" w:fill="auto"/>
        <w:bidi w:val="0"/>
        <w:spacing w:before="0" w:after="0"/>
        <w:ind w:left="20" w:right="40"/>
      </w:pPr>
      <w:r>
        <w:rPr>
          <w:lang w:val="ru-RU" w:eastAsia="ru-RU" w:bidi="ru-RU"/>
          <w:w w:val="100"/>
          <w:spacing w:val="0"/>
          <w:color w:val="000000"/>
          <w:position w:val="0"/>
        </w:rPr>
        <w:t>Заказчик пояснил, что при рассмотрении заявок руководствовался требованиями законодательства о контрактной системе в сфере закупок. Заказчик не вправе отклонить заявку без оснований, четко урегулированных Законом о контрактной системе.</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изложенного, Заказчик считает, что Комиссия провела рассмотрение заявок и признала победителем закупки ООО «Антей-Стройинвест» в соответствии с требованиями законодательства о контрактной системе в сфере закупок.</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Изучив представленные материалы и доводы сторон, Комиссия Управления пришла к следующим выводам.</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Комиссия У правления установила, что нормы Закона о контрактной системе, в том числе статьи 51 Закона о контрактной системе, регламентирующей заключение контракта по результатам электронной процедуры, не содержат оснований для отказа в допуске, признания заявки несоответствующей и не признания участника закупки победителем, в случае, если он является победителем по другой закупке, в том числе, если объектом закупки является оказание услуг по строительному контролю на объекте, где данный участник закупки является подрядчиком.</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части 1 статьи 27 Закона о контрактной системе участие в определении поставщиков (подрядчиков, исполнителей) может быть ограничено только в случаях, предусмотренных настоящим Федеральным законом. Отклонение заявки на участие в закупке по основаниям, не предусмотренным настоящим Федеральным законом, не допускается.</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Кроме того, в письме ФАС России от 23.12.2019 г. указано, что отклонение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случае если исполнитель по выполнению функций строительного контроля и подряда является одним и тем же лицом, Законом о контрактной системе не установлено.</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Данное требование также не установлено ни в Положении о проведении строительного контроля при осуществлении строительства, реконструкции и капитального ремонта объектов капитального строительства, утвержденного постановлением Правительства Российской Федерации от 21.06.2010 </w:t>
      </w:r>
      <w:r>
        <w:rPr>
          <w:lang w:val="en-US" w:eastAsia="en-US" w:bidi="en-US"/>
          <w:w w:val="100"/>
          <w:spacing w:val="0"/>
          <w:color w:val="000000"/>
          <w:position w:val="0"/>
        </w:rPr>
        <w:t xml:space="preserve">N </w:t>
      </w:r>
      <w:r>
        <w:rPr>
          <w:lang w:val="ru-RU" w:eastAsia="ru-RU" w:bidi="ru-RU"/>
          <w:w w:val="100"/>
          <w:spacing w:val="0"/>
          <w:color w:val="000000"/>
          <w:position w:val="0"/>
        </w:rPr>
        <w:t>468 (далее - Положение), ни в статье 53 Градостроительного кодекса РФ. В связи с изложенным, заказчик считает, что у Комиссии Заказчика отсутствовали правовые основания для непризнания ООО «Антей- Стройинвест» победителем данной закупки.</w:t>
      </w:r>
    </w:p>
    <w:p>
      <w:pPr>
        <w:pStyle w:val="Style34"/>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изложенного, Комиссия Управления пришла к выводу, что в действиях Комиссии Заказчика отсутствуют нарушения Закона о контрактной системе.</w:t>
      </w:r>
    </w:p>
    <w:p>
      <w:pPr>
        <w:pStyle w:val="Style18"/>
        <w:widowControl w:val="0"/>
        <w:keepNext w:val="0"/>
        <w:keepLines w:val="0"/>
        <w:shd w:val="clear" w:color="auto" w:fill="auto"/>
        <w:bidi w:val="0"/>
        <w:jc w:val="both"/>
        <w:spacing w:before="0" w:after="0" w:line="300" w:lineRule="exact"/>
        <w:ind w:left="20" w:right="20" w:firstLine="720"/>
      </w:pPr>
      <w:r>
        <w:rPr>
          <w:lang w:val="ru-RU" w:eastAsia="ru-RU" w:bidi="ru-RU"/>
          <w:w w:val="100"/>
          <w:spacing w:val="0"/>
          <w:color w:val="000000"/>
          <w:position w:val="0"/>
        </w:rPr>
        <w:t xml:space="preserve">Согласно части 1 статьи 105 Закона о контрактной системе любой участник </w:t>
      </w:r>
      <w:r>
        <w:rPr>
          <w:rStyle w:val="CharStyle21"/>
        </w:rPr>
        <w:t xml:space="preserve">закупки </w:t>
      </w:r>
      <w:r>
        <w:rPr>
          <w:lang w:val="ru-RU" w:eastAsia="ru-RU" w:bidi="ru-RU"/>
          <w:w w:val="100"/>
          <w:spacing w:val="0"/>
          <w:color w:val="000000"/>
          <w:position w:val="0"/>
        </w:rPr>
        <w:t xml:space="preserve">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w:t>
      </w:r>
      <w:r>
        <w:rPr>
          <w:rStyle w:val="CharStyle21"/>
        </w:rPr>
        <w:t xml:space="preserve">закупок </w:t>
      </w:r>
      <w:r>
        <w:rPr>
          <w:lang w:val="ru-RU" w:eastAsia="ru-RU" w:bidi="ru-RU"/>
          <w:w w:val="100"/>
          <w:spacing w:val="0"/>
          <w:color w:val="000000"/>
          <w:position w:val="0"/>
        </w:rPr>
        <w:t xml:space="preserve">действия (бездействие) заказчика, уполномоченного органа, уполномоченного </w:t>
      </w:r>
      <w:r>
        <w:rPr>
          <w:rStyle w:val="CharStyle21"/>
        </w:rPr>
        <w:t xml:space="preserve">учреждения, </w:t>
      </w:r>
      <w:r>
        <w:rPr>
          <w:lang w:val="ru-RU" w:eastAsia="ru-RU" w:bidi="ru-RU"/>
          <w:w w:val="100"/>
          <w:spacing w:val="0"/>
          <w:color w:val="000000"/>
          <w:position w:val="0"/>
        </w:rPr>
        <w:t xml:space="preserve">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w:t>
      </w:r>
      <w:r>
        <w:rPr>
          <w:rStyle w:val="CharStyle21"/>
        </w:rPr>
        <w:t xml:space="preserve">площадки, </w:t>
      </w:r>
      <w:r>
        <w:rPr>
          <w:lang w:val="ru-RU" w:eastAsia="ru-RU" w:bidi="ru-RU"/>
          <w:w w:val="100"/>
          <w:spacing w:val="0"/>
          <w:color w:val="000000"/>
          <w:position w:val="0"/>
        </w:rPr>
        <w:t xml:space="preserve">оператора специализированной электронной площадки, если такие действия </w:t>
      </w:r>
      <w:r>
        <w:rPr>
          <w:rStyle w:val="CharStyle21"/>
        </w:rPr>
        <w:t xml:space="preserve">(бездействие) </w:t>
      </w:r>
      <w:r>
        <w:rPr>
          <w:lang w:val="ru-RU" w:eastAsia="ru-RU" w:bidi="ru-RU"/>
          <w:w w:val="100"/>
          <w:spacing w:val="0"/>
          <w:color w:val="000000"/>
          <w:position w:val="0"/>
        </w:rPr>
        <w:t>нарушают права и законные интересы участника закупки.</w:t>
      </w:r>
    </w:p>
    <w:p>
      <w:pPr>
        <w:pStyle w:val="Style18"/>
        <w:widowControl w:val="0"/>
        <w:keepNext w:val="0"/>
        <w:keepLines w:val="0"/>
        <w:shd w:val="clear" w:color="auto" w:fill="auto"/>
        <w:bidi w:val="0"/>
        <w:jc w:val="both"/>
        <w:spacing w:before="0" w:after="0" w:line="300" w:lineRule="exact"/>
        <w:ind w:left="20" w:right="20" w:firstLine="720"/>
      </w:pPr>
      <w:r>
        <w:rPr>
          <w:lang w:val="ru-RU" w:eastAsia="ru-RU" w:bidi="ru-RU"/>
          <w:w w:val="100"/>
          <w:spacing w:val="0"/>
          <w:color w:val="000000"/>
          <w:position w:val="0"/>
        </w:rPr>
        <w:t>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8"/>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Из приведенных положений Закона о контрактной системе следует, что обязанность доказывания нарушения своих прав и законных интересов лежит на подателе жалобы. Заявителем не представлено документальных подтверждений обоснованности доводов жалобы.</w:t>
      </w:r>
    </w:p>
    <w:p>
      <w:pPr>
        <w:pStyle w:val="Style18"/>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Учитывая изложенное, Комиссия Управления приходит к выводу о том, что доводы Заявителя являются необоснованными.</w:t>
      </w:r>
    </w:p>
    <w:p>
      <w:pPr>
        <w:pStyle w:val="Style18"/>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 xml:space="preserve">Исследовав представленные материалы, руководствуясь статьями </w:t>
      </w:r>
      <w:r>
        <w:rPr>
          <w:rStyle w:val="CharStyle21"/>
        </w:rPr>
        <w:t xml:space="preserve">99, 106 Закона о </w:t>
      </w:r>
      <w:r>
        <w:rPr>
          <w:lang w:val="ru-RU" w:eastAsia="ru-RU" w:bidi="ru-RU"/>
          <w:w w:val="100"/>
          <w:spacing w:val="0"/>
          <w:color w:val="000000"/>
          <w:position w:val="0"/>
        </w:rPr>
        <w:t>контрактной системе. Административным регламентом. Комиссия Управления,</w:t>
      </w:r>
    </w:p>
    <w:p>
      <w:pPr>
        <w:pStyle w:val="Style18"/>
        <w:widowControl w:val="0"/>
        <w:keepNext w:val="0"/>
        <w:keepLines w:val="0"/>
        <w:shd w:val="clear" w:color="auto" w:fill="auto"/>
        <w:bidi w:val="0"/>
        <w:jc w:val="left"/>
        <w:spacing w:before="0" w:after="0" w:line="315" w:lineRule="exact"/>
        <w:ind w:left="4920" w:right="0" w:firstLine="0"/>
      </w:pPr>
      <w:r>
        <w:rPr>
          <w:lang w:val="ru-RU" w:eastAsia="ru-RU" w:bidi="ru-RU"/>
          <w:w w:val="100"/>
          <w:spacing w:val="0"/>
          <w:color w:val="000000"/>
          <w:position w:val="0"/>
        </w:rPr>
        <w:t>РЕШИЛА:</w:t>
      </w:r>
    </w:p>
    <w:p>
      <w:pPr>
        <w:pStyle w:val="Style18"/>
        <w:numPr>
          <w:ilvl w:val="0"/>
          <w:numId w:val="1"/>
        </w:numPr>
        <w:tabs>
          <w:tab w:leader="none" w:pos="1446" w:val="left"/>
        </w:tabs>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 xml:space="preserve">Признать жалобу Общества с ограниченной ответственностью ТД «Д-Марк» на действия Г осударственного казенного учреждения города Севастополя «Дирекция по развитию дорожно-транспортной инфраструктуры города Севастополя» при проведении открытого конкурса в электронной форме на оказание услуг по осуществлению авторского надзора на </w:t>
      </w:r>
      <w:r>
        <w:rPr>
          <w:rStyle w:val="CharStyle21"/>
        </w:rPr>
        <w:t xml:space="preserve">объекте: </w:t>
      </w:r>
      <w:r>
        <w:rPr>
          <w:lang w:val="ru-RU" w:eastAsia="ru-RU" w:bidi="ru-RU"/>
          <w:w w:val="100"/>
          <w:spacing w:val="0"/>
          <w:color w:val="000000"/>
          <w:position w:val="0"/>
        </w:rPr>
        <w:t>Реконструкция транспортной развязки на пересечении автомобильных дорог 64 К-8 «Севастополь -</w:t>
      </w:r>
      <w:r>
        <w:br w:type="page"/>
      </w:r>
    </w:p>
    <w:p>
      <w:pPr>
        <w:pStyle w:val="Style32"/>
        <w:widowControl w:val="0"/>
        <w:keepNext/>
        <w:keepLines/>
        <w:shd w:val="clear" w:color="auto" w:fill="auto"/>
        <w:bidi w:val="0"/>
        <w:spacing w:before="0" w:after="0" w:line="315" w:lineRule="exact"/>
        <w:ind w:left="20" w:right="0" w:firstLine="0"/>
      </w:pPr>
      <w:bookmarkStart w:id="4" w:name="bookmark4"/>
      <w:r>
        <w:rPr>
          <w:lang w:val="ru-RU" w:eastAsia="ru-RU" w:bidi="ru-RU"/>
          <w:w w:val="100"/>
          <w:spacing w:val="0"/>
          <w:color w:val="000000"/>
          <w:position w:val="0"/>
        </w:rPr>
        <w:t>порт Камышовая бухта» и 67 Н-261 «пр-т Генерала Острякова - ул. Хрусталева (5 км Балаклавского шоссе)», извещение №0174500001122004790, необоснованной.</w:t>
      </w:r>
      <w:bookmarkEnd w:id="4"/>
    </w:p>
    <w:p>
      <w:pPr>
        <w:pStyle w:val="Style32"/>
        <w:numPr>
          <w:ilvl w:val="0"/>
          <w:numId w:val="1"/>
        </w:numPr>
        <w:tabs>
          <w:tab w:leader="none" w:pos="1436" w:val="left"/>
        </w:tabs>
        <w:widowControl w:val="0"/>
        <w:keepNext/>
        <w:keepLines/>
        <w:shd w:val="clear" w:color="auto" w:fill="auto"/>
        <w:bidi w:val="0"/>
        <w:spacing w:before="0" w:after="268" w:line="315" w:lineRule="exact"/>
        <w:ind w:left="20" w:right="0" w:firstLine="700"/>
      </w:pPr>
      <w:bookmarkStart w:id="5" w:name="bookmark5"/>
      <w:r>
        <w:rPr>
          <w:lang w:val="ru-RU" w:eastAsia="ru-RU" w:bidi="ru-RU"/>
          <w:w w:val="100"/>
          <w:spacing w:val="0"/>
          <w:color w:val="000000"/>
          <w:position w:val="0"/>
        </w:rPr>
        <w:t>Снять ограничения, установленные уведомлением Крымского УФАС России о принятии жалобы к рассмотрению с реестровым номером в ЕИС №202200100161022158 от 28 ноября 2022 года.</w:t>
      </w:r>
      <w:bookmarkEnd w:id="5"/>
    </w:p>
    <w:p>
      <w:pPr>
        <w:pStyle w:val="Style36"/>
        <w:widowControl w:val="0"/>
        <w:keepNext w:val="0"/>
        <w:keepLines w:val="0"/>
        <w:shd w:val="clear" w:color="auto" w:fill="auto"/>
        <w:bidi w:val="0"/>
        <w:spacing w:before="0" w:after="0"/>
        <w:ind w:left="20" w:right="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6"/>
        <w:widowControl w:val="0"/>
        <w:keepNext w:val="0"/>
        <w:keepLines w:val="0"/>
        <w:shd w:val="clear" w:color="auto" w:fill="auto"/>
        <w:bidi w:val="0"/>
        <w:spacing w:before="0" w:after="0"/>
        <w:ind w:left="20" w:right="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framePr w:h="2646" w:wrap="around" w:vAnchor="text" w:hAnchor="margin" w:x="7020" w:y="1637"/>
        <w:widowControl w:val="0"/>
        <w:jc w:val="center"/>
        <w:rPr>
          <w:sz w:val="2"/>
          <w:szCs w:val="2"/>
        </w:rPr>
      </w:pPr>
      <w:r>
        <w:pict>
          <v:shape id="_x0000_s1028" type="#_x0000_t75" style="width:165pt;height:133pt;">
            <v:imagedata r:id="rId8" r:href="rId9"/>
          </v:shape>
        </w:pict>
      </w:r>
    </w:p>
    <w:p>
      <w:pPr>
        <w:pStyle w:val="Style36"/>
        <w:widowControl w:val="0"/>
        <w:keepNext w:val="0"/>
        <w:keepLines w:val="0"/>
        <w:shd w:val="clear" w:color="auto" w:fill="auto"/>
        <w:bidi w:val="0"/>
        <w:spacing w:before="0" w:after="700"/>
        <w:ind w:left="20" w:right="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32"/>
        <w:widowControl w:val="0"/>
        <w:keepNext/>
        <w:keepLines/>
        <w:shd w:val="clear" w:color="auto" w:fill="auto"/>
        <w:bidi w:val="0"/>
        <w:spacing w:before="0" w:after="537" w:line="230" w:lineRule="exact"/>
        <w:ind w:left="20" w:right="0" w:firstLine="0"/>
      </w:pPr>
      <w:bookmarkStart w:id="6" w:name="bookmark6"/>
      <w:r>
        <w:rPr>
          <w:lang w:val="ru-RU" w:eastAsia="ru-RU" w:bidi="ru-RU"/>
          <w:w w:val="100"/>
          <w:spacing w:val="0"/>
          <w:color w:val="000000"/>
          <w:position w:val="0"/>
        </w:rPr>
        <w:t>Председатель Комиссии</w:t>
      </w:r>
      <w:bookmarkEnd w:id="6"/>
    </w:p>
    <w:p>
      <w:pPr>
        <w:pStyle w:val="Style32"/>
        <w:widowControl w:val="0"/>
        <w:keepNext/>
        <w:keepLines/>
        <w:shd w:val="clear" w:color="auto" w:fill="auto"/>
        <w:bidi w:val="0"/>
        <w:spacing w:before="0" w:after="0" w:line="230" w:lineRule="exact"/>
        <w:ind w:left="20" w:right="0" w:firstLine="0"/>
      </w:pPr>
      <w:bookmarkStart w:id="7" w:name="bookmark7"/>
      <w:r>
        <w:rPr>
          <w:lang w:val="ru-RU" w:eastAsia="ru-RU" w:bidi="ru-RU"/>
          <w:w w:val="100"/>
          <w:spacing w:val="0"/>
          <w:color w:val="000000"/>
          <w:position w:val="0"/>
        </w:rPr>
        <w:t>Члены Комиссии:</w:t>
      </w:r>
      <w:bookmarkEnd w:id="7"/>
    </w:p>
    <w:sectPr>
      <w:type w:val="continuous"/>
      <w:pgSz w:w="11909" w:h="16838"/>
      <w:pgMar w:top="1140" w:left="819" w:right="795" w:bottom="6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296.65pt;margin-top:30.05pt;width:6.45pt;height:9.55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6">
    <w:name w:val="Заголовок №2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9">
    <w:name w:val="Основной текст (3) + 11,5 pt,Не полужирный"/>
    <w:basedOn w:val="CharStyle8"/>
    <w:rPr>
      <w:lang w:val="ru-RU" w:eastAsia="ru-RU" w:bidi="ru-RU"/>
      <w:b/>
      <w:bCs/>
      <w:sz w:val="23"/>
      <w:szCs w:val="23"/>
      <w:w w:val="100"/>
      <w:spacing w:val="0"/>
      <w:color w:val="000000"/>
      <w:position w:val="0"/>
    </w:rPr>
  </w:style>
  <w:style w:type="character" w:customStyle="1" w:styleId="CharStyle11">
    <w:name w:val="Заголовок №3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Заголовок №3 + Полужирный"/>
    <w:basedOn w:val="CharStyle11"/>
    <w:rPr>
      <w:lang w:val="ru-RU" w:eastAsia="ru-RU" w:bidi="ru-RU"/>
      <w:b/>
      <w:bCs/>
      <w:sz w:val="24"/>
      <w:szCs w:val="24"/>
      <w:w w:val="100"/>
      <w:spacing w:val="0"/>
      <w:color w:val="000000"/>
      <w:position w:val="0"/>
    </w:rPr>
  </w:style>
  <w:style w:type="character" w:customStyle="1" w:styleId="CharStyle13">
    <w:name w:val="Основной текст (2) + 9,5 pt,Полужирный"/>
    <w:basedOn w:val="CharStyle4"/>
    <w:rPr>
      <w:lang w:val="ru-RU" w:eastAsia="ru-RU" w:bidi="ru-RU"/>
      <w:b/>
      <w:bCs/>
      <w:sz w:val="19"/>
      <w:szCs w:val="19"/>
      <w:w w:val="100"/>
      <w:spacing w:val="0"/>
      <w:color w:val="000000"/>
      <w:position w:val="0"/>
    </w:rPr>
  </w:style>
  <w:style w:type="character" w:customStyle="1" w:styleId="CharStyle15">
    <w:name w:val="Заголовок №1_"/>
    <w:basedOn w:val="DefaultParagraphFont"/>
    <w:link w:val="Style14"/>
    <w:rPr>
      <w:lang w:val="en-US" w:eastAsia="en-US" w:bidi="en-US"/>
      <w:b w:val="0"/>
      <w:bCs w:val="0"/>
      <w:i/>
      <w:iCs/>
      <w:u w:val="none"/>
      <w:strike w:val="0"/>
      <w:smallCaps w:val="0"/>
      <w:sz w:val="30"/>
      <w:szCs w:val="30"/>
      <w:rFonts w:ascii="Times New Roman" w:eastAsia="Times New Roman" w:hAnsi="Times New Roman" w:cs="Times New Roman"/>
      <w:spacing w:val="70"/>
    </w:rPr>
  </w:style>
  <w:style w:type="character" w:customStyle="1" w:styleId="CharStyle16">
    <w:name w:val="Заголовок №1 + 10 pt,Не курсив,Интервал 0 pt"/>
    <w:basedOn w:val="CharStyle15"/>
    <w:rPr>
      <w:lang w:val="ru-RU" w:eastAsia="ru-RU" w:bidi="ru-RU"/>
      <w:i/>
      <w:iCs/>
      <w:sz w:val="20"/>
      <w:szCs w:val="20"/>
      <w:w w:val="100"/>
      <w:spacing w:val="0"/>
      <w:color w:val="000000"/>
      <w:position w:val="0"/>
    </w:rPr>
  </w:style>
  <w:style w:type="character" w:customStyle="1" w:styleId="CharStyle17">
    <w:name w:val="Заголовок №1"/>
    <w:basedOn w:val="CharStyle15"/>
    <w:rPr>
      <w:u w:val="single"/>
      <w:w w:val="10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4)"/>
    <w:basedOn w:val="CharStyle19"/>
    <w:rPr>
      <w:lang w:val="en-US" w:eastAsia="en-US" w:bidi="en-US"/>
      <w:u w:val="single"/>
      <w:w w:val="100"/>
      <w:spacing w:val="0"/>
      <w:color w:val="000000"/>
      <w:position w:val="0"/>
    </w:rPr>
  </w:style>
  <w:style w:type="character" w:customStyle="1" w:styleId="CharStyle21">
    <w:name w:val="Основной текст (4)"/>
    <w:basedOn w:val="CharStyle19"/>
    <w:rPr>
      <w:lang w:val="ru-RU" w:eastAsia="ru-RU" w:bidi="ru-RU"/>
      <w:w w:val="100"/>
      <w:spacing w:val="0"/>
      <w:color w:val="000000"/>
      <w:position w:val="0"/>
    </w:rPr>
  </w:style>
  <w:style w:type="character" w:customStyle="1" w:styleId="CharStyle23">
    <w:name w:val="Колонтитул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5">
    <w:name w:val="Основной текст (4)"/>
    <w:basedOn w:val="CharStyle19"/>
    <w:rPr>
      <w:lang w:val="en-US" w:eastAsia="en-US" w:bidi="en-US"/>
      <w:u w:val="single"/>
      <w:w w:val="100"/>
      <w:spacing w:val="0"/>
      <w:color w:val="000000"/>
      <w:position w:val="0"/>
    </w:rPr>
  </w:style>
  <w:style w:type="character" w:customStyle="1" w:styleId="CharStyle27">
    <w:name w:val="Основной текст_"/>
    <w:basedOn w:val="DefaultParagraphFont"/>
    <w:link w:val="Style26"/>
    <w:rPr>
      <w:b w:val="0"/>
      <w:bCs w:val="0"/>
      <w:i/>
      <w:iCs/>
      <w:u w:val="none"/>
      <w:strike w:val="0"/>
      <w:smallCaps w:val="0"/>
      <w:sz w:val="18"/>
      <w:szCs w:val="18"/>
      <w:rFonts w:ascii="Times New Roman" w:eastAsia="Times New Roman" w:hAnsi="Times New Roman" w:cs="Times New Roman"/>
    </w:rPr>
  </w:style>
  <w:style w:type="character" w:customStyle="1" w:styleId="CharStyle28">
    <w:name w:val="Основной текст + 11,5 pt,Не курсив"/>
    <w:basedOn w:val="CharStyle27"/>
    <w:rPr>
      <w:lang w:val="ru-RU" w:eastAsia="ru-RU" w:bidi="ru-RU"/>
      <w:i/>
      <w:iCs/>
      <w:sz w:val="23"/>
      <w:szCs w:val="23"/>
      <w:w w:val="100"/>
      <w:spacing w:val="0"/>
      <w:color w:val="000000"/>
      <w:position w:val="0"/>
    </w:rPr>
  </w:style>
  <w:style w:type="character" w:customStyle="1" w:styleId="CharStyle29">
    <w:name w:val="Основной текст + 11,5 pt,Не курсив"/>
    <w:basedOn w:val="CharStyle27"/>
    <w:rPr>
      <w:lang w:val="ru-RU" w:eastAsia="ru-RU" w:bidi="ru-RU"/>
      <w:i/>
      <w:iCs/>
      <w:sz w:val="23"/>
      <w:szCs w:val="23"/>
      <w:w w:val="100"/>
      <w:spacing w:val="0"/>
      <w:color w:val="000000"/>
      <w:position w:val="0"/>
    </w:rPr>
  </w:style>
  <w:style w:type="character" w:customStyle="1" w:styleId="CharStyle30">
    <w:name w:val="Основной текст + 7,5 pt,Полужирный,Не курсив"/>
    <w:basedOn w:val="CharStyle27"/>
    <w:rPr>
      <w:lang w:val="ru-RU" w:eastAsia="ru-RU" w:bidi="ru-RU"/>
      <w:b/>
      <w:bCs/>
      <w:i/>
      <w:iCs/>
      <w:sz w:val="15"/>
      <w:szCs w:val="15"/>
      <w:w w:val="100"/>
      <w:spacing w:val="0"/>
      <w:color w:val="000000"/>
      <w:position w:val="0"/>
    </w:rPr>
  </w:style>
  <w:style w:type="character" w:customStyle="1" w:styleId="CharStyle31">
    <w:name w:val="Основной текст + 6,5 pt,Не курсив,Интервал 1 pt"/>
    <w:basedOn w:val="CharStyle27"/>
    <w:rPr>
      <w:lang w:val="ru-RU" w:eastAsia="ru-RU" w:bidi="ru-RU"/>
      <w:i/>
      <w:iCs/>
      <w:sz w:val="13"/>
      <w:szCs w:val="13"/>
      <w:w w:val="100"/>
      <w:spacing w:val="30"/>
      <w:color w:val="000000"/>
      <w:position w:val="0"/>
    </w:rPr>
  </w:style>
  <w:style w:type="character" w:customStyle="1" w:styleId="CharStyle33">
    <w:name w:val="Заголовок №4_"/>
    <w:basedOn w:val="DefaultParagraphFont"/>
    <w:link w:val="Style32"/>
    <w:rPr>
      <w:b w:val="0"/>
      <w:bCs w:val="0"/>
      <w:i w:val="0"/>
      <w:iCs w:val="0"/>
      <w:u w:val="none"/>
      <w:strike w:val="0"/>
      <w:smallCaps w:val="0"/>
      <w:sz w:val="23"/>
      <w:szCs w:val="23"/>
      <w:rFonts w:ascii="Times New Roman" w:eastAsia="Times New Roman" w:hAnsi="Times New Roman" w:cs="Times New Roman"/>
    </w:rPr>
  </w:style>
  <w:style w:type="character" w:customStyle="1" w:styleId="CharStyle35">
    <w:name w:val="Основной текст (5)_"/>
    <w:basedOn w:val="DefaultParagraphFont"/>
    <w:link w:val="Style34"/>
    <w:rPr>
      <w:b/>
      <w:bCs/>
      <w:i w:val="0"/>
      <w:iCs w:val="0"/>
      <w:u w:val="none"/>
      <w:strike w:val="0"/>
      <w:smallCaps w:val="0"/>
      <w:sz w:val="19"/>
      <w:szCs w:val="19"/>
      <w:rFonts w:ascii="Times New Roman" w:eastAsia="Times New Roman" w:hAnsi="Times New Roman" w:cs="Times New Roman"/>
    </w:rPr>
  </w:style>
  <w:style w:type="character" w:customStyle="1" w:styleId="CharStyle37">
    <w:name w:val="Основной текст (6)_"/>
    <w:basedOn w:val="DefaultParagraphFont"/>
    <w:link w:val="Style36"/>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after="120" w:line="315"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line="319" w:lineRule="exact"/>
    </w:pPr>
    <w:rPr>
      <w:b/>
      <w:bCs/>
      <w:i w:val="0"/>
      <w:iCs w:val="0"/>
      <w:u w:val="none"/>
      <w:strike w:val="0"/>
      <w:smallCaps w:val="0"/>
      <w:rFonts w:ascii="Times New Roman" w:eastAsia="Times New Roman" w:hAnsi="Times New Roman" w:cs="Times New Roman"/>
    </w:rPr>
  </w:style>
  <w:style w:type="paragraph" w:customStyle="1" w:styleId="Style10">
    <w:name w:val="Заголовок №3"/>
    <w:basedOn w:val="Normal"/>
    <w:link w:val="CharStyle11"/>
    <w:pPr>
      <w:widowControl w:val="0"/>
      <w:shd w:val="clear" w:color="auto" w:fill="FFFFFF"/>
      <w:jc w:val="center"/>
      <w:outlineLvl w:val="2"/>
      <w:spacing w:after="60" w:line="315"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center"/>
      <w:outlineLvl w:val="0"/>
      <w:spacing w:before="240" w:line="496" w:lineRule="exact"/>
    </w:pPr>
    <w:rPr>
      <w:lang w:val="en-US" w:eastAsia="en-US" w:bidi="en-US"/>
      <w:b w:val="0"/>
      <w:bCs w:val="0"/>
      <w:i/>
      <w:iCs/>
      <w:u w:val="none"/>
      <w:strike w:val="0"/>
      <w:smallCaps w:val="0"/>
      <w:sz w:val="30"/>
      <w:szCs w:val="30"/>
      <w:rFonts w:ascii="Times New Roman" w:eastAsia="Times New Roman" w:hAnsi="Times New Roman" w:cs="Times New Roman"/>
      <w:spacing w:val="70"/>
    </w:rPr>
  </w:style>
  <w:style w:type="paragraph" w:customStyle="1" w:styleId="Style18">
    <w:name w:val="Основной текст (4)"/>
    <w:basedOn w:val="Normal"/>
    <w:link w:val="CharStyle19"/>
    <w:pPr>
      <w:widowControl w:val="0"/>
      <w:shd w:val="clear" w:color="auto" w:fill="FFFFFF"/>
      <w:jc w:val="center"/>
      <w:spacing w:line="496"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w:basedOn w:val="Normal"/>
    <w:link w:val="CharStyle27"/>
    <w:pPr>
      <w:widowControl w:val="0"/>
      <w:shd w:val="clear" w:color="auto" w:fill="FFFFFF"/>
      <w:jc w:val="both"/>
      <w:spacing w:line="229" w:lineRule="exact"/>
    </w:pPr>
    <w:rPr>
      <w:b w:val="0"/>
      <w:bCs w:val="0"/>
      <w:i/>
      <w:iCs/>
      <w:u w:val="none"/>
      <w:strike w:val="0"/>
      <w:smallCaps w:val="0"/>
      <w:sz w:val="18"/>
      <w:szCs w:val="18"/>
      <w:rFonts w:ascii="Times New Roman" w:eastAsia="Times New Roman" w:hAnsi="Times New Roman" w:cs="Times New Roman"/>
    </w:rPr>
  </w:style>
  <w:style w:type="paragraph" w:customStyle="1" w:styleId="Style32">
    <w:name w:val="Заголовок №4"/>
    <w:basedOn w:val="Normal"/>
    <w:link w:val="CharStyle33"/>
    <w:pPr>
      <w:widowControl w:val="0"/>
      <w:shd w:val="clear" w:color="auto" w:fill="FFFFFF"/>
      <w:jc w:val="both"/>
      <w:outlineLvl w:val="3"/>
      <w:spacing w:line="31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4">
    <w:name w:val="Основной текст (5)"/>
    <w:basedOn w:val="Normal"/>
    <w:link w:val="CharStyle35"/>
    <w:pPr>
      <w:widowControl w:val="0"/>
      <w:shd w:val="clear" w:color="auto" w:fill="FFFFFF"/>
      <w:jc w:val="both"/>
      <w:spacing w:line="272" w:lineRule="exact"/>
      <w:ind w:firstLine="700"/>
    </w:pPr>
    <w:rPr>
      <w:b/>
      <w:bCs/>
      <w:i w:val="0"/>
      <w:iCs w:val="0"/>
      <w:u w:val="none"/>
      <w:strike w:val="0"/>
      <w:smallCaps w:val="0"/>
      <w:sz w:val="19"/>
      <w:szCs w:val="19"/>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jc w:val="both"/>
      <w:spacing w:before="180" w:line="205" w:lineRule="exact"/>
      <w:ind w:firstLine="700"/>
    </w:pPr>
    <w:rPr>
      <w:b w:val="0"/>
      <w:bCs w:val="0"/>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image" Target="media/image1.png" TargetMode="External"/><Relationship Id="rId8" Type="http://schemas.openxmlformats.org/officeDocument/2006/relationships/image" Target="media/image2.png"/><Relationship Id="rId9" Type="http://schemas.openxmlformats.org/officeDocument/2006/relationships/image" Target="media/image2.png" TargetMode="External"/></Relationships>
</file>