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66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31pt;height:33pt;">
            <v:imagedata r:id="rId5" r:href="rId6"/>
          </v:shape>
        </w:pict>
      </w:r>
    </w:p>
    <w:p>
      <w:pPr>
        <w:pStyle w:val="Style3"/>
        <w:framePr w:h="66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rStyle w:val="CharStyle5"/>
        </w:rPr>
        <w:t>V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1" w:left="2618" w:right="8671" w:bottom="341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w="4717" w:h="250" w:wrap="none" w:vAnchor="text" w:hAnchor="margin" w:x="524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Администрация поселения Сосенское</w:t>
      </w:r>
    </w:p>
    <w:p>
      <w:pPr>
        <w:pStyle w:val="Style9"/>
        <w:framePr w:w="4664" w:h="964" w:wrap="none" w:vAnchor="text" w:hAnchor="margin" w:x="5227" w:y="58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00" w:right="100" w:firstLine="0"/>
      </w:pPr>
      <w:r>
        <w:rPr>
          <w:rStyle w:val="CharStyle10"/>
          <w:spacing w:val="0"/>
        </w:rPr>
        <w:t>ул. Александры Монаховой, двлд. 30, стр. 1 г. Москва, пос. Сосенское, п. Коммунарка, 108814</w:t>
      </w:r>
    </w:p>
    <w:p>
      <w:pPr>
        <w:pStyle w:val="Style11"/>
        <w:framePr w:w="3368" w:h="1335" w:wrap="none" w:vAnchor="text" w:hAnchor="margin" w:x="422" w:y="3"/>
        <w:widowControl w:val="0"/>
        <w:keepNext w:val="0"/>
        <w:keepLines w:val="0"/>
        <w:shd w:val="clear" w:color="auto" w:fill="auto"/>
        <w:bidi w:val="0"/>
        <w:spacing w:before="0" w:after="172"/>
        <w:ind w:left="0" w:right="20" w:firstLine="0"/>
      </w:pPr>
      <w:r>
        <w:rPr>
          <w:rStyle w:val="CharStyle13"/>
          <w:b/>
          <w:bCs/>
          <w:spacing w:val="0"/>
        </w:rPr>
        <w:t>ФЕДЕРАЛЬНАЯ АНТИМОНОПОЛЬНАЯ СЛУЖБА</w:t>
      </w:r>
    </w:p>
    <w:p>
      <w:pPr>
        <w:pStyle w:val="Style11"/>
        <w:framePr w:w="3368" w:h="1335" w:wrap="none" w:vAnchor="text" w:hAnchor="margin" w:x="422" w:y="3"/>
        <w:widowControl w:val="0"/>
        <w:keepNext w:val="0"/>
        <w:keepLines w:val="0"/>
        <w:shd w:val="clear" w:color="auto" w:fill="auto"/>
        <w:bidi w:val="0"/>
        <w:spacing w:before="0" w:after="260" w:line="170" w:lineRule="exact"/>
        <w:ind w:left="0" w:right="20" w:firstLine="0"/>
      </w:pPr>
      <w:r>
        <w:rPr>
          <w:rStyle w:val="CharStyle13"/>
          <w:b/>
          <w:bCs/>
          <w:spacing w:val="0"/>
        </w:rPr>
        <w:t>УПРАВЛЕ</w:t>
      </w:r>
      <w:r>
        <w:rPr>
          <w:rStyle w:val="CharStyle14"/>
          <w:b/>
          <w:bCs/>
          <w:spacing w:val="0"/>
        </w:rPr>
        <w:t>НИЕ</w:t>
      </w:r>
    </w:p>
    <w:p>
      <w:pPr>
        <w:pStyle w:val="Style11"/>
        <w:framePr w:w="3368" w:h="1335" w:wrap="none" w:vAnchor="text" w:hAnchor="margin" w:x="422" w:y="3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20" w:firstLine="0"/>
      </w:pPr>
      <w:r>
        <w:rPr>
          <w:rStyle w:val="CharStyle13"/>
          <w:b/>
          <w:bCs/>
          <w:spacing w:val="0"/>
        </w:rPr>
        <w:t>по г. Москве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5" w:left="823" w:right="823" w:bottom="5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45" w:wrap="around" w:vAnchor="text" w:hAnchor="margin" w:x="4987" w:y="3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0"/>
        </w:rPr>
        <w:t>ООО «МД-Консалтинг»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9" w:h="16838"/>
          <w:pgMar w:top="121" w:left="1073" w:right="6948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17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18"/>
        </w:rPr>
        <w:t>e-mail: to77@,fas.gov.ru</w:t>
      </w:r>
    </w:p>
    <w:p>
      <w:pPr>
        <w:widowControl w:val="0"/>
        <w:spacing w:line="88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framePr w:h="170" w:wrap="around" w:vAnchor="text" w:hAnchor="margin" w:x="-3287" w:y="17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21"/>
        </w:rPr>
        <w:t>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380" w:firstLine="0"/>
        <w:sectPr>
          <w:type w:val="continuous"/>
          <w:pgSz w:w="11909" w:h="16838"/>
          <w:pgMar w:top="121" w:left="6146" w:right="1615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Приморский б-р., д. 2Б, оф. 5, г. Тольятти, 445051,</w:t>
      </w:r>
    </w:p>
    <w:p>
      <w:pPr>
        <w:widowControl w:val="0"/>
        <w:spacing w:line="2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framePr w:h="110" w:wrap="around" w:vAnchor="text" w:hAnchor="margin" w:x="1905" w:y="4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25"/>
          <w:spacing w:val="0"/>
        </w:rPr>
        <w:t>ОТ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424" w:line="170" w:lineRule="exact"/>
        <w:ind w:left="20" w:right="0" w:firstLine="0"/>
      </w:pPr>
      <w:r>
        <w:rPr>
          <w:rStyle w:val="CharStyle28"/>
        </w:rPr>
        <w:t>На№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jc w:val="left"/>
        <w:spacing w:before="0" w:after="0" w:line="420" w:lineRule="exact"/>
        <w:ind w:left="20" w:right="0" w:firstLine="0"/>
        <w:sectPr>
          <w:type w:val="continuous"/>
          <w:pgSz w:w="11909" w:h="16838"/>
          <w:pgMar w:top="121" w:left="866" w:right="10212" w:bottom="371" w:header="0" w:footer="3" w:gutter="0"/>
          <w:rtlGutter w:val="0"/>
          <w:cols w:space="720"/>
          <w:noEndnote/>
          <w:docGrid w:linePitch="360"/>
        </w:sectPr>
      </w:pPr>
      <w:r>
        <w:rPr>
          <w:rStyle w:val="CharStyle31"/>
          <w:b/>
          <w:bCs/>
        </w:rPr>
        <w:t>Г</w:t>
      </w: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80" w:firstLine="1880"/>
        <w:sectPr>
          <w:type w:val="continuous"/>
          <w:pgSz w:w="11909" w:h="16838"/>
          <w:pgMar w:top="121" w:left="3329" w:right="2499" w:bottom="37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№077/06/106-16719/2022 о нарушении законодательства о контрактной системе</w:t>
      </w:r>
    </w:p>
    <w:p>
      <w:pPr>
        <w:widowControl w:val="0"/>
        <w:spacing w:line="41" w:lineRule="exact"/>
        <w:rPr>
          <w:sz w:val="3"/>
          <w:szCs w:val="3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2"/>
        <w:framePr w:h="240" w:wrap="around" w:vAnchor="text" w:hAnchor="margin" w:x="8294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34"/>
          <w:b/>
          <w:bCs/>
          <w:spacing w:val="0"/>
        </w:rPr>
        <w:t>г. Москва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09.11.2022</w:t>
      </w:r>
    </w:p>
    <w:p>
      <w:pPr>
        <w:pStyle w:val="Style9"/>
        <w:tabs>
          <w:tab w:leader="none" w:pos="1018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</w:t>
        <w:tab/>
        <w:t>Управления Федеральной антимонопольной службы</w:t>
      </w:r>
    </w:p>
    <w:p>
      <w:pPr>
        <w:pStyle w:val="Style9"/>
        <w:tabs>
          <w:tab w:leader="none" w:pos="550" w:val="left"/>
          <w:tab w:leader="none" w:pos="1018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</w:t>
        <w:tab/>
        <w:t>г. Москве</w:t>
        <w:tab/>
        <w:t>по контролю в сфере закупок товаров, работ, услуг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Комиссия Управления) в составе:</w:t>
      </w:r>
    </w:p>
    <w:p>
      <w:pPr>
        <w:pStyle w:val="Style9"/>
        <w:tabs>
          <w:tab w:leader="none" w:pos="397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</w:t>
        <w:tab/>
        <w:t>Главного государственного инспектора отдела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обжалования государственных закупок Е.А. Мироновой,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 Кутейникова,</w:t>
      </w:r>
    </w:p>
    <w:p>
      <w:pPr>
        <w:pStyle w:val="Style9"/>
        <w:tabs>
          <w:tab w:leader="none" w:pos="550" w:val="left"/>
          <w:tab w:leader="none" w:pos="1018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видеоконференцсвязи) в целях исполнения Указа Мэра Москвы от 25.09.2020 №</w:t>
        <w:tab/>
        <w:t>92-УМ «О</w:t>
        <w:tab/>
        <w:t>внесении изменений в правовые акты города Москвы»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Администрация поселения Сосенское: Порхунова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 (дов.№б/н),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«МД-Консалтинг», о времени и порядке заседания Комиссии Управления уведомленных надлежащим образом письмом Московского УФАС России № ЕИ/56480/22 от 07.11.2022,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36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«МД-Консалтинг» (далее — Заявитель) на действия Администрации поселения Сосенское при проведении электронного аукциона на право заключения государственного контракта на выполнение работ по ликвидации несанкционированных навалов строительного мусора и грунта (Закупка № 0148300008322000018) (далее — Аукцион), в соответствии с Федеральным законом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  <w:sectPr>
          <w:type w:val="continuous"/>
          <w:pgSz w:w="11909" w:h="16838"/>
          <w:pgMar w:top="121" w:left="847" w:right="847" w:bottom="371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spacing w:val="0"/>
          <w:color w:val="000000"/>
          <w:position w:val="0"/>
        </w:rPr>
        <w:t>000606732200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308" w:line="260" w:lineRule="exact"/>
        <w:ind w:left="43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не представлены в полном объеме документы и сведения, запрашиваемые письмом Московского УФАС России № ЕИ/56480/22 от 07.11.2022, а именно, Заказчиком не представлены следующие документы: приказ (иной акт) со всеми изменениями о создании Комиссии, действующей при проведении закупки; положение (иной акт), устанавливающий полномочия и обязанности членов Комиссии, действующей при проведении закупки; сведения о членах Комиссии, действующей при проведении закупки (паспортные данные); положение (иной акт), устанавливающий полномочия и обязанности должностного лица, утвердившего документацию о закупке, сведения об указанном должностном лице, а именно - приказ о назначении на должность, должностной регламент, служебный контракт (трудовой договор).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Заказчика, выразившиеся в утверждении положений извещения в нарушение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Так, согласно доводам жалобы, Заказчиком неправомерно объединены в один лот лицензируемый вид деятельности, сбор и транспортирование отходов IV класса опасности, и нелицензируемый вид деятельности, сбор и транспортирование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класса опасности, что, по мнению Заявителя, влечет за собой ограничение количества участников закупки ввиду сокращения числа хозяйствующих субъектов, не обладающих лицензией, которые могут принять участие в аукционе.</w:t>
      </w:r>
    </w:p>
    <w:p>
      <w:pPr>
        <w:pStyle w:val="Style9"/>
        <w:tabs>
          <w:tab w:leader="none" w:pos="34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</w:t>
        <w:tab/>
        <w:t>ст.31 Закона о контрактной системе, требования,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ст.31 Закона о контрактной системе (при наличии такого требования).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п. 4, 5, 18, 30, 42, 49, 54 и 59 ч.1 ст.93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извещению извещения о проведении электронного аукциона от</w:t>
      </w:r>
    </w:p>
    <w:p>
      <w:pPr>
        <w:pStyle w:val="Style9"/>
        <w:numPr>
          <w:ilvl w:val="0"/>
          <w:numId w:val="3"/>
        </w:numPr>
        <w:tabs>
          <w:tab w:leader="none" w:pos="14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№ИИ1 объектом закупки является выполнение работ по ликвидации несанкционированных навалов строительного мусора и грунта.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п.30 ч.1. ст.12 Федерального закона «О лицензировании отдельных видов деятельности» от 04.05.2011 №99-ФЗ (далее- Закон о лицензировании) лицензированию подлежит такой вид деятельности как деятельность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классов опасности.</w:t>
      </w:r>
    </w:p>
    <w:p>
      <w:pPr>
        <w:pStyle w:val="Style39"/>
        <w:tabs>
          <w:tab w:leader="none" w:pos="462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680"/>
      </w:pPr>
      <w:r>
        <w:rPr>
          <w:rStyle w:val="CharStyle41"/>
          <w:i w:val="0"/>
          <w:iCs w:val="0"/>
        </w:rPr>
        <w:t xml:space="preserve">Комиссией Управления установлено, что в составе извещения, а также в п.12.1 информационной карты извещения, Заказчиком установлено в том числе следующее требование к участникам закупки: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закупки, предусмотренные п. 1 ч. 1 ст. 31 Закона о контрактной системе. Лот №</w:t>
        <w:tab/>
        <w:t>1: При осуществлении закупки заказчик</w:t>
      </w:r>
    </w:p>
    <w:p>
      <w:pPr>
        <w:pStyle w:val="Style39"/>
        <w:tabs>
          <w:tab w:leader="none" w:pos="1016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устанавливает следующие единые требования к участникам закупки:</w:t>
        <w:tab/>
        <w:t>1)</w:t>
      </w:r>
    </w:p>
    <w:p>
      <w:pPr>
        <w:pStyle w:val="Style39"/>
        <w:widowControl w:val="0"/>
        <w:keepNext w:val="0"/>
        <w:keepLines w:val="0"/>
        <w:shd w:val="clear" w:color="auto" w:fill="auto"/>
        <w:bidi w:val="0"/>
        <w:spacing w:before="0" w:after="0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закупки: наличие действующей лицензии на осуществление деятельности по сбору, транспортированию, обработке, утилизации, обезвреживанию, размещению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I-IV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классов опасности (в соответствии с Федеральным законом от 29.12.2015г №404-ФЗ «О внесении изменений в Федеральный закон «Об охране окружающей среды» а также в соответствии с Постановлением Правительства Российской Федерации от 21.11.2011г № 957 «Об организации лицензирования отдельных видов деятельности», Федеральным законом от 04.05.2011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99- ФЗ «О лицензировании отдельных видов деятельности») у организации (далее Лицензия) с правом выполнения работ по транспортированию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IV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класса опасности. Лицензия должна включать перечень видов отходов IV класса опасности (в соответствии с Федеральным классификационным каталогом отходов)</w:t>
      </w:r>
      <w:r>
        <w:rPr>
          <w:rStyle w:val="CharStyle41"/>
          <w:i w:val="0"/>
          <w:iCs w:val="0"/>
        </w:rPr>
        <w:t>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п.1,2 ч.1 ст.33 Закона о контрактной системе заказчик при описании объекта закупки должен руководствоваться следующими правилами: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9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9"/>
        <w:tabs>
          <w:tab w:leader="none" w:pos="87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п.6 Приказу Росприроднадзора от 22.05.2017</w:t>
        <w:tab/>
        <w:t>№242 «Об</w:t>
      </w:r>
    </w:p>
    <w:p>
      <w:pPr>
        <w:pStyle w:val="Style9"/>
        <w:tabs>
          <w:tab w:leader="none" w:pos="46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утверждении Федерального классификационного каталога отходов» (далее — Приказ №242) определено, что федеральный классификационный каталог отходов (далее - ФККО) включает перечень видов отходов, находящихся в обращении в Российской Федерации и систематизированных по совокупности классификационных признаков:</w:t>
        <w:tab/>
        <w:t>происхождению, условиям образования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(принадлежности к определенному производству, технологии), химическому и (или) компонентному составу, агрегатному состоянию и физической форме.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П.9 Приказа №242 определены Конкретные виды отходов представлены в ФККО по наименованиям, а их классификационные признаки и классы опасности - в кодифицированной форме по 11-значной системе, в том числе установлено, что одиннадцатый знак 11-значного кода используется для кодирования класса опасности вида отходов в зависимости от степени негативного воздействия на окружающую среду: 0 - для блоков, типов, подтипов, групп, подгрупп и позиций классификации отходов; 1 -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-й класс опасности; 2 -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-й класс опасности; 3 -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III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-й класс опасности; 4 -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IV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-й класс опасности; 5 -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-й класс опасности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этим в описании объекта закупки Заказчиком определены коды отходов по ФККО: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«3.1. 81290101724 мусор от сноса и разборки зданий несортированный 3.2. 81111112495 отходы грунта при проведении открытых земляных работ практически неопасные».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Комиссией Управления установлено, что код ФККО 81290101724 «мусор от сноса и разборки зданий несортированный» соответствует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IV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-му классу опасности, а код ФККО 81111112495 «отходы грунта при проведении открытых земляных работ практически неопасные» соответствует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-му классу опасности.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Таким образом, Комиссия Управления приходит к выводу, что рамках данной закупочной процедуры осуществляется уборка как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IV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-го класса опасности, так и отходов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V</w:t>
      </w:r>
      <w:r>
        <w:rPr>
          <w:lang w:val="ru-RU" w:eastAsia="ru-RU" w:bidi="ru-RU"/>
          <w:w w:val="100"/>
          <w:spacing w:val="0"/>
          <w:color w:val="000000"/>
          <w:position w:val="0"/>
        </w:rPr>
        <w:t>-го класса опасности.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этим Комиссией Управления установлено, что объем работ определен описанием объекта закупки следующим образом: В соответствии со Сметной документацией и Техническим заданием.</w:t>
      </w:r>
    </w:p>
    <w:p>
      <w:pPr>
        <w:pStyle w:val="Style42"/>
        <w:framePr w:w="10075" w:wrap="notBeside" w:vAnchor="text" w:hAnchor="text" w:xAlign="center" w:y="1"/>
        <w:tabs>
          <w:tab w:leader="underscore" w:pos="7714" w:val="left"/>
          <w:tab w:leader="underscore" w:pos="8453" w:val="left"/>
          <w:tab w:leader="underscore" w:pos="1012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усреднённом коэффициенте перевода объёмов 1,3 из м3 в тонны кол-во в </w:t>
      </w:r>
      <w:r>
        <w:rPr>
          <w:rStyle w:val="CharStyle44"/>
        </w:rPr>
        <w:t>тоннах составляет 7250,1 тонн.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  <w:tab/>
      </w:r>
    </w:p>
    <w:tbl>
      <w:tblPr>
        <w:tblOverlap w:val="never"/>
        <w:tblLayout w:type="fixed"/>
        <w:jc w:val="center"/>
      </w:tblPr>
      <w:tblGrid>
        <w:gridCol w:w="653"/>
        <w:gridCol w:w="7003"/>
        <w:gridCol w:w="739"/>
        <w:gridCol w:w="1680"/>
      </w:tblGrid>
      <w:tr>
        <w:trPr>
          <w:trHeight w:val="98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240" w:right="0" w:firstLine="0"/>
            </w:pPr>
            <w:r>
              <w:rPr>
                <w:rStyle w:val="CharStyle45"/>
              </w:rPr>
              <w:t>№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5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260" w:lineRule="exact"/>
              <w:ind w:left="0" w:right="0" w:firstLine="0"/>
            </w:pPr>
            <w:r>
              <w:rPr>
                <w:rStyle w:val="CharStyle45"/>
              </w:rPr>
              <w:t>Ед.</w:t>
            </w:r>
          </w:p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260" w:lineRule="exact"/>
              <w:ind w:left="0" w:right="0" w:firstLine="0"/>
            </w:pPr>
            <w:r>
              <w:rPr>
                <w:rStyle w:val="CharStyle45"/>
              </w:rPr>
              <w:t>изм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5"/>
              </w:rPr>
              <w:t>Кол-во</w:t>
            </w:r>
          </w:p>
        </w:tc>
      </w:tr>
      <w:tr>
        <w:trPr>
          <w:trHeight w:val="65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300" w:right="0" w:firstLine="0"/>
            </w:pPr>
            <w:r>
              <w:rPr>
                <w:rStyle w:val="CharStyle46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6" w:lineRule="exact"/>
              <w:ind w:left="120" w:right="0" w:firstLine="0"/>
            </w:pPr>
            <w:r>
              <w:rPr>
                <w:rStyle w:val="CharStyle46"/>
              </w:rPr>
              <w:t>Механизированная погрузка строительного мусора и грунта в автомобили-самосвалы и мусоровозы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6525,09</w:t>
            </w:r>
          </w:p>
        </w:tc>
      </w:tr>
      <w:tr>
        <w:trPr>
          <w:trHeight w:val="64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300" w:right="0" w:firstLine="0"/>
            </w:pPr>
            <w:r>
              <w:rPr>
                <w:rStyle w:val="CharStyle46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26" w:lineRule="exact"/>
              <w:ind w:left="120" w:right="0" w:firstLine="0"/>
            </w:pPr>
            <w:r>
              <w:rPr>
                <w:rStyle w:val="CharStyle46"/>
              </w:rPr>
              <w:t>Погрузка вручную строительного мусора и грунта на транспортные средства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725,01</w:t>
            </w:r>
          </w:p>
        </w:tc>
      </w:tr>
      <w:tr>
        <w:trPr>
          <w:trHeight w:val="98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60" w:lineRule="exact"/>
              <w:ind w:left="300" w:right="0" w:firstLine="0"/>
            </w:pPr>
            <w:r>
              <w:rPr>
                <w:rStyle w:val="CharStyle46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322" w:lineRule="exact"/>
              <w:ind w:left="0" w:right="0" w:firstLine="0"/>
            </w:pPr>
            <w:r>
              <w:rPr>
                <w:rStyle w:val="CharStyle46"/>
              </w:rPr>
              <w:t>Перевозка строительного мусора и грунта автосамосвалами грузоподъёмностью 10т на расстояние до 52 км - при механизированной погрузке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9"/>
              <w:framePr w:w="1007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0" w:lineRule="exact"/>
              <w:ind w:left="0" w:right="0" w:firstLine="0"/>
            </w:pPr>
            <w:r>
              <w:rPr>
                <w:rStyle w:val="CharStyle46"/>
              </w:rPr>
              <w:t>7250,1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29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Также Комиссией Управления также определено, что в сметной документации, размещенной в электронных документах «Расчет НМЦК(Д) (сметный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Excel)»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отсутствует указание на работы по уборке грунта.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работы по уборке грунта являются сопутствующими работами и основным видом работ являются работы по уборке строительного мусора.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вышеизложенного Комиссия Управления приходит к выводу, что подлежащие уборке отходы, такие как строительный мусор и грунт, смешаны между собой и не подлежат сортировке, ввиду чего организации, осуществляющей сбор и транспортировку таких отходов, необходимо обладать лицензией на деятельность по сбору, транспортированию отходов IV класса опасности.</w:t>
      </w:r>
    </w:p>
    <w:p>
      <w:pPr>
        <w:pStyle w:val="Style9"/>
        <w:tabs>
          <w:tab w:leader="none" w:pos="3706" w:val="left"/>
          <w:tab w:leader="none" w:pos="101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этим, согласно ч.4 ст.106 Закона о контрактной системе,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на заседание Комиссии Управления представитель Заявителя не явился, а в составе жалобы Заявителем не представлено документов и сведений свидетельствующих об</w:t>
        <w:tab/>
        <w:t>ограничении количества участников</w:t>
        <w:tab/>
        <w:t>закупки,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невозможности подачи заявки на участие в закупки, а также представлено доказательств того факта, что Заказчиком осуществляется сортировка отходов, подлежащих уборке в рамках работ, на осуществление которых проводится закупочная процедура.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вышеуказанного Комиссия Управления приходит к выводу, что описание объекта закупки составлено Заказчиком правомерно, доводы жалобы Заявителя не нашли своего подтверждения и являются необоснованными.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37"/>
        <w:widowControl w:val="0"/>
        <w:keepNext/>
        <w:keepLines/>
        <w:shd w:val="clear" w:color="auto" w:fill="auto"/>
        <w:bidi w:val="0"/>
        <w:jc w:val="left"/>
        <w:spacing w:before="0" w:after="295" w:line="260" w:lineRule="exact"/>
        <w:ind w:left="45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«МД-Консалтинг» на действия Администрации поселения Сосенское необоснованной.</w:t>
      </w:r>
    </w:p>
    <w:p>
      <w:pPr>
        <w:pStyle w:val="Style9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осуществление закупки, наложенные письмом Московского УФАС России №ЕИ/56480/22 от 07.11.2022.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tabs>
          <w:tab w:leader="none" w:pos="8784" w:val="right"/>
          <w:tab w:leader="none" w:pos="101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Е.А.</w:t>
        <w:tab/>
        <w:t>Миронова</w:t>
      </w:r>
    </w:p>
    <w:p>
      <w:pPr>
        <w:pStyle w:val="Style9"/>
        <w:tabs>
          <w:tab w:leader="none" w:pos="8554" w:val="right"/>
          <w:tab w:leader="none" w:pos="1012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Кутенйиков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right"/>
        <w:spacing w:before="0" w:after="1863" w:line="643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4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Матюшенко А.А., 8(495) 784-75-05</w:t>
      </w:r>
    </w:p>
    <w:sectPr>
      <w:pgSz w:w="11909" w:h="16838"/>
      <w:pgMar w:top="1247" w:left="851" w:right="837" w:bottom="1257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5pt;margin-top:796.8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  <w:b/>
                    <w:bCs/>
                  </w:rPr>
                  <w:t>2022-62661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2.85pt;margin-top:806.pt;width:56.1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  <w:b/>
                    <w:bCs/>
                  </w:rPr>
                  <w:t>2022-62661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5pt;margin-top:37.9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8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Letter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26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w w:val="150"/>
    </w:rPr>
  </w:style>
  <w:style w:type="character" w:customStyle="1" w:styleId="CharStyle5">
    <w:name w:val="Подпись к картинке"/>
    <w:basedOn w:val="CharStyle4"/>
    <w:rPr>
      <w:lang w:val="ru-RU" w:eastAsia="ru-RU" w:bidi="ru-RU"/>
      <w:spacing w:val="0"/>
      <w:color w:val="000000"/>
      <w:position w:val="0"/>
    </w:rPr>
  </w:style>
  <w:style w:type="character" w:customStyle="1" w:styleId="CharStyle7">
    <w:name w:val="Колонтитул_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Колонтитул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12">
    <w:name w:val="Основной текст (2) Exact"/>
    <w:basedOn w:val="DefaultParagraphFont"/>
    <w:link w:val="Style11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13">
    <w:name w:val="Основной текст (2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2) Exact"/>
    <w:basedOn w:val="CharStyle12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3)"/>
    <w:basedOn w:val="CharStyle1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(4) Exact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character" w:customStyle="1" w:styleId="CharStyle21">
    <w:name w:val="Основной текст (4) Exact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 (7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character" w:customStyle="1" w:styleId="CharStyle25">
    <w:name w:val="Основной текст (7) Exact"/>
    <w:basedOn w:val="CharStyle24"/>
    <w:rPr>
      <w:lang w:val="ru-RU" w:eastAsia="ru-RU" w:bidi="ru-RU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character" w:customStyle="1" w:styleId="CharStyle28">
    <w:name w:val="Основной текст (5)"/>
    <w:basedOn w:val="CharStyle27"/>
    <w:rPr>
      <w:lang w:val="ru-RU" w:eastAsia="ru-RU" w:bidi="ru-RU"/>
      <w:w w:val="10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9"/>
    <w:rPr>
      <w:b/>
      <w:bCs/>
      <w:i w:val="0"/>
      <w:iCs w:val="0"/>
      <w:u w:val="none"/>
      <w:strike w:val="0"/>
      <w:smallCaps w:val="0"/>
      <w:sz w:val="42"/>
      <w:szCs w:val="42"/>
    </w:rPr>
  </w:style>
  <w:style w:type="character" w:customStyle="1" w:styleId="CharStyle31">
    <w:name w:val="Основной текст (6)"/>
    <w:basedOn w:val="CharStyle30"/>
    <w:rPr>
      <w:lang w:val="ru-RU" w:eastAsia="ru-RU" w:bidi="ru-RU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33">
    <w:name w:val="Основной текст (8)_"/>
    <w:basedOn w:val="DefaultParagraphFont"/>
    <w:link w:val="Style32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Основной текст (8) Exact"/>
    <w:basedOn w:val="DefaultParagraphFont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36">
    <w:name w:val="Штрих-код (2)_"/>
    <w:basedOn w:val="DefaultParagraphFont"/>
    <w:link w:val="Style3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8">
    <w:name w:val="Заголовок №1_"/>
    <w:basedOn w:val="DefaultParagraphFont"/>
    <w:link w:val="Style3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0">
    <w:name w:val="Основной текст (9)_"/>
    <w:basedOn w:val="DefaultParagraphFont"/>
    <w:link w:val="Style39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1">
    <w:name w:val="Основной текст (9) + Не курсив"/>
    <w:basedOn w:val="CharStyle40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3">
    <w:name w:val="Подпись к таблице_"/>
    <w:basedOn w:val="DefaultParagraphFont"/>
    <w:link w:val="Style4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4">
    <w:name w:val="Подпись к таблице"/>
    <w:basedOn w:val="CharStyle4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5">
    <w:name w:val="Основной текст + Полужирный"/>
    <w:basedOn w:val="CharStyle2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6">
    <w:name w:val="Основной текст"/>
    <w:basedOn w:val="CharStyle2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8">
    <w:name w:val="Основной текст (10)_"/>
    <w:basedOn w:val="DefaultParagraphFont"/>
    <w:link w:val="Style4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w w:val="150"/>
    </w:rPr>
  </w:style>
  <w:style w:type="paragraph" w:customStyle="1" w:styleId="Style6">
    <w:name w:val="Колонтитул"/>
    <w:basedOn w:val="Normal"/>
    <w:link w:val="CharStyle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jc w:val="center"/>
      <w:spacing w:after="120"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egoe UI" w:eastAsia="Segoe UI" w:hAnsi="Segoe UI" w:cs="Segoe UI"/>
    </w:rPr>
  </w:style>
  <w:style w:type="paragraph" w:customStyle="1" w:styleId="Style23">
    <w:name w:val="Основной текст (7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  <w:spacing w:val="-7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after="54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0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spacing w:before="540" w:line="0" w:lineRule="exact"/>
    </w:pPr>
    <w:rPr>
      <w:b/>
      <w:bCs/>
      <w:i w:val="0"/>
      <w:iCs w:val="0"/>
      <w:u w:val="none"/>
      <w:strike w:val="0"/>
      <w:smallCaps w:val="0"/>
      <w:sz w:val="42"/>
      <w:szCs w:val="42"/>
    </w:rPr>
  </w:style>
  <w:style w:type="paragraph" w:customStyle="1" w:styleId="Style32">
    <w:name w:val="Основной текст (8)"/>
    <w:basedOn w:val="Normal"/>
    <w:link w:val="CharStyle33"/>
    <w:pPr>
      <w:widowControl w:val="0"/>
      <w:shd w:val="clear" w:color="auto" w:fill="FFFFFF"/>
      <w:spacing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5">
    <w:name w:val="Штрих-код (2)"/>
    <w:basedOn w:val="Normal"/>
    <w:link w:val="CharStyle3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7">
    <w:name w:val="Заголовок №1"/>
    <w:basedOn w:val="Normal"/>
    <w:link w:val="CharStyle38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9">
    <w:name w:val="Основной текст (9)"/>
    <w:basedOn w:val="Normal"/>
    <w:link w:val="CharStyle40"/>
    <w:pPr>
      <w:widowControl w:val="0"/>
      <w:shd w:val="clear" w:color="auto" w:fill="FFFFFF"/>
      <w:jc w:val="both"/>
      <w:spacing w:line="331" w:lineRule="exact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2">
    <w:name w:val="Подпись к таблице"/>
    <w:basedOn w:val="Normal"/>
    <w:link w:val="CharStyle43"/>
    <w:pPr>
      <w:widowControl w:val="0"/>
      <w:shd w:val="clear" w:color="auto" w:fill="FFFFFF"/>
      <w:spacing w:line="322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7">
    <w:name w:val="Основной текст (10)"/>
    <w:basedOn w:val="Normal"/>
    <w:link w:val="CharStyle48"/>
    <w:pPr>
      <w:widowControl w:val="0"/>
      <w:shd w:val="clear" w:color="auto" w:fill="FFFFFF"/>
      <w:jc w:val="both"/>
      <w:spacing w:before="150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