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941"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0pt;height:47pt;">
            <v:imagedata r:id="rId5" r:href="rId6"/>
          </v:shape>
        </w:pict>
      </w:r>
    </w:p>
    <w:p>
      <w:pPr>
        <w:widowControl w:val="0"/>
        <w:rPr>
          <w:sz w:val="2"/>
          <w:szCs w:val="2"/>
        </w:rPr>
      </w:pPr>
    </w:p>
    <w:p>
      <w:pPr>
        <w:widowControl w:val="0"/>
        <w:rPr>
          <w:sz w:val="2"/>
          <w:szCs w:val="2"/>
        </w:rPr>
        <w:sectPr>
          <w:footerReference w:type="default" r:id="rId7"/>
          <w:titlePg/>
          <w:footnotePr>
            <w:pos w:val="pageBottom"/>
            <w:numFmt w:val="decimal"/>
            <w:numRestart w:val="continuous"/>
          </w:footnotePr>
          <w:type w:val="continuous"/>
          <w:pgSz w:w="11909" w:h="16838"/>
          <w:pgMar w:top="290" w:left="2558" w:right="8534" w:bottom="314" w:header="0" w:footer="3" w:gutter="0"/>
          <w:rtlGutter w:val="0"/>
          <w:cols w:space="720"/>
          <w:noEndnote/>
          <w:docGrid w:linePitch="360"/>
        </w:sectPr>
      </w:pPr>
    </w:p>
    <w:p>
      <w:pPr>
        <w:pStyle w:val="Style3"/>
        <w:widowControl w:val="0"/>
        <w:keepNext w:val="0"/>
        <w:keepLines w:val="0"/>
        <w:shd w:val="clear" w:color="auto" w:fill="auto"/>
        <w:bidi w:val="0"/>
        <w:spacing w:before="0" w:after="128"/>
        <w:ind w:left="0" w:right="8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32"/>
        <w:ind w:left="0" w:right="80" w:firstLine="0"/>
      </w:pPr>
      <w:r>
        <w:rPr>
          <w:rStyle w:val="CharStyle8"/>
          <w:b/>
          <w:bCs/>
        </w:rPr>
        <w:t>УПРАВЛЕНИЕ Федеральной антимонопольной службы по Томской области</w:t>
      </w:r>
    </w:p>
    <w:p>
      <w:pPr>
        <w:pStyle w:val="Style9"/>
        <w:widowControl w:val="0"/>
        <w:keepNext w:val="0"/>
        <w:keepLines w:val="0"/>
        <w:shd w:val="clear" w:color="auto" w:fill="auto"/>
        <w:bidi w:val="0"/>
        <w:spacing w:before="0" w:after="273"/>
        <w:ind w:left="0" w:right="80" w:firstLine="0"/>
      </w:pPr>
      <w:r>
        <w:rPr>
          <w:rStyle w:val="CharStyle11"/>
        </w:rPr>
        <w:t xml:space="preserve">Адрес места нахождения: г.Томск, пр-кт. Ленина, 111 Почтовый адрес: 634069, г.Томск, пр-кт. Ленина, 111 тел. (3822) 51-50-61, факс (3822) 51-29-80 </w:t>
      </w:r>
      <w:r>
        <w:rPr>
          <w:rStyle w:val="CharStyle11"/>
          <w:lang w:val="en-US" w:eastAsia="en-US" w:bidi="en-US"/>
        </w:rPr>
        <w:t xml:space="preserve">e-mail: </w:t>
      </w:r>
      <w:r>
        <w:fldChar w:fldCharType="begin"/>
      </w:r>
      <w:r>
        <w:rPr>
          <w:rStyle w:val="CharStyle11"/>
        </w:rPr>
        <w:instrText> HYPERLINK "mailto:to70@fas.gov.ru" </w:instrText>
      </w:r>
      <w:r>
        <w:fldChar w:fldCharType="separate"/>
      </w:r>
      <w:r>
        <w:rPr>
          <w:rStyle w:val="Hyperlink"/>
          <w:lang w:val="en-US" w:eastAsia="en-US" w:bidi="en-US"/>
        </w:rPr>
        <w:t>to70@fas.gov.ru</w:t>
      </w:r>
      <w:r>
        <w:fldChar w:fldCharType="end"/>
      </w:r>
    </w:p>
    <w:p>
      <w:pPr>
        <w:pStyle w:val="Style12"/>
        <w:widowControl w:val="0"/>
        <w:keepNext w:val="0"/>
        <w:keepLines w:val="0"/>
        <w:shd w:val="clear" w:color="auto" w:fill="auto"/>
        <w:bidi w:val="0"/>
        <w:spacing w:before="0" w:after="208" w:line="170" w:lineRule="exact"/>
        <w:ind w:left="0" w:right="80" w:firstLine="0"/>
      </w:pPr>
      <w:r>
        <w:rPr>
          <w:rStyle w:val="CharStyle14"/>
        </w:rPr>
        <w:t>№</w:t>
      </w:r>
    </w:p>
    <w:p>
      <w:pPr>
        <w:pStyle w:val="Style3"/>
        <w:widowControl w:val="0"/>
        <w:keepNext w:val="0"/>
        <w:keepLines w:val="0"/>
        <w:shd w:val="clear" w:color="auto" w:fill="auto"/>
        <w:bidi w:val="0"/>
        <w:jc w:val="left"/>
        <w:spacing w:before="0" w:after="582" w:line="160" w:lineRule="exact"/>
        <w:ind w:left="0" w:right="0" w:firstLine="0"/>
      </w:pPr>
      <w:r>
        <w:rPr>
          <w:rStyle w:val="CharStyle5"/>
          <w:b/>
          <w:bCs/>
        </w:rPr>
        <w:t>На№</w:t>
      </w:r>
    </w:p>
    <w:p>
      <w:pPr>
        <w:pStyle w:val="Style15"/>
        <w:widowControl w:val="0"/>
        <w:keepNext w:val="0"/>
        <w:keepLines w:val="0"/>
        <w:shd w:val="clear" w:color="auto" w:fill="auto"/>
        <w:bidi w:val="0"/>
        <w:spacing w:before="0" w:after="0"/>
        <w:ind w:left="80" w:right="0" w:firstLine="0"/>
      </w:pPr>
      <w:r>
        <w:rPr>
          <w:lang w:val="ru-RU" w:eastAsia="ru-RU" w:bidi="ru-RU"/>
          <w:w w:val="100"/>
          <w:spacing w:val="0"/>
          <w:color w:val="000000"/>
          <w:position w:val="0"/>
        </w:rPr>
        <w:t>Решение по делу № 070/06/106</w:t>
        <w:softHyphen/>
        <w:t>822/2022</w:t>
      </w:r>
    </w:p>
    <w:p>
      <w:pPr>
        <w:pStyle w:val="Style17"/>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ОГСБУ "Томская Авиабаза"</w:t>
      </w:r>
    </w:p>
    <w:p>
      <w:pPr>
        <w:pStyle w:val="Style17"/>
        <w:widowControl w:val="0"/>
        <w:keepNext w:val="0"/>
        <w:keepLines w:val="0"/>
        <w:shd w:val="clear" w:color="auto" w:fill="auto"/>
        <w:bidi w:val="0"/>
        <w:spacing w:before="0" w:after="289"/>
        <w:ind w:left="20" w:right="1040" w:firstLine="0"/>
      </w:pPr>
      <w:r>
        <w:rPr>
          <w:lang w:val="ru-RU" w:eastAsia="ru-RU" w:bidi="ru-RU"/>
          <w:w w:val="100"/>
          <w:spacing w:val="0"/>
          <w:color w:val="000000"/>
          <w:position w:val="0"/>
        </w:rPr>
        <w:t xml:space="preserve">634021, Томская обл, г. Томск, ул.Шевченко, дом 40 корпус 2 </w:t>
      </w:r>
      <w:r>
        <w:fldChar w:fldCharType="begin"/>
      </w:r>
      <w:r>
        <w:rPr>
          <w:color w:val="000000"/>
        </w:rPr>
        <w:instrText> HYPERLINK "mailto:kulincova@aviabasa.ru" </w:instrText>
      </w:r>
      <w:r>
        <w:fldChar w:fldCharType="separate"/>
      </w:r>
      <w:r>
        <w:rPr>
          <w:rStyle w:val="Hyperlink"/>
          <w:lang w:val="en-US" w:eastAsia="en-US" w:bidi="en-US"/>
          <w:w w:val="100"/>
          <w:spacing w:val="0"/>
          <w:position w:val="0"/>
        </w:rPr>
        <w:t>kulincova@aviabasa.ru</w:t>
      </w:r>
      <w:r>
        <w:fldChar w:fldCharType="end"/>
      </w:r>
    </w:p>
    <w:p>
      <w:pPr>
        <w:pStyle w:val="Style17"/>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ООО "АК АвисКом"</w:t>
      </w:r>
    </w:p>
    <w:p>
      <w:pPr>
        <w:pStyle w:val="Style17"/>
        <w:widowControl w:val="0"/>
        <w:keepNext w:val="0"/>
        <w:keepLines w:val="0"/>
        <w:shd w:val="clear" w:color="auto" w:fill="auto"/>
        <w:bidi w:val="0"/>
        <w:jc w:val="left"/>
        <w:spacing w:before="0" w:after="240"/>
        <w:ind w:left="20" w:right="0" w:firstLine="0"/>
      </w:pPr>
      <w:r>
        <w:rPr>
          <w:lang w:val="ru-RU" w:eastAsia="ru-RU" w:bidi="ru-RU"/>
          <w:w w:val="100"/>
          <w:spacing w:val="0"/>
          <w:color w:val="000000"/>
          <w:position w:val="0"/>
        </w:rPr>
        <w:t xml:space="preserve">662162, Красноярский край, г. Ачинск, ул. Красноярская, д. 15 </w:t>
      </w:r>
      <w:r>
        <w:rPr>
          <w:lang w:val="en-US" w:eastAsia="en-US" w:bidi="en-US"/>
          <w:w w:val="100"/>
          <w:spacing w:val="0"/>
          <w:color w:val="000000"/>
          <w:position w:val="0"/>
        </w:rPr>
        <w:t>info-aviscom@mail .ru</w:t>
      </w:r>
    </w:p>
    <w:p>
      <w:pPr>
        <w:pStyle w:val="Style17"/>
        <w:widowControl w:val="0"/>
        <w:keepNext w:val="0"/>
        <w:keepLines w:val="0"/>
        <w:shd w:val="clear" w:color="auto" w:fill="auto"/>
        <w:bidi w:val="0"/>
        <w:spacing w:before="0" w:after="0"/>
        <w:ind w:left="20" w:right="180" w:firstLine="0"/>
      </w:pPr>
      <w:r>
        <w:rPr>
          <w:lang w:val="ru-RU" w:eastAsia="ru-RU" w:bidi="ru-RU"/>
          <w:w w:val="100"/>
          <w:spacing w:val="0"/>
          <w:color w:val="000000"/>
          <w:position w:val="0"/>
        </w:rPr>
        <w:t>Областное государственное казенное учреждение "Центр государственных закупок Томской области"</w:t>
      </w:r>
    </w:p>
    <w:p>
      <w:pPr>
        <w:pStyle w:val="Style17"/>
        <w:widowControl w:val="0"/>
        <w:keepNext w:val="0"/>
        <w:keepLines w:val="0"/>
        <w:shd w:val="clear" w:color="auto" w:fill="auto"/>
        <w:bidi w:val="0"/>
        <w:jc w:val="left"/>
        <w:spacing w:before="0" w:after="0"/>
        <w:ind w:left="20" w:right="560" w:firstLine="0"/>
        <w:sectPr>
          <w:type w:val="continuous"/>
          <w:pgSz w:w="11909" w:h="16838"/>
          <w:pgMar w:top="320" w:left="916" w:right="1108" w:bottom="344" w:header="0" w:footer="3" w:gutter="0"/>
          <w:rtlGutter w:val="0"/>
          <w:cols w:num="2" w:space="720" w:equalWidth="0">
            <w:col w:w="3989" w:space="1277"/>
            <w:col w:w="4618"/>
          </w:cols>
          <w:noEndnote/>
          <w:docGrid w:linePitch="360"/>
        </w:sectPr>
      </w:pPr>
      <w:r>
        <w:rPr>
          <w:lang w:val="ru-RU" w:eastAsia="ru-RU" w:bidi="ru-RU"/>
          <w:w w:val="100"/>
          <w:spacing w:val="0"/>
          <w:color w:val="000000"/>
          <w:position w:val="0"/>
        </w:rPr>
        <w:t xml:space="preserve">634034, обл. Томская, г. Томск, ул. Нахимова, д. 8 </w:t>
      </w:r>
      <w:r>
        <w:fldChar w:fldCharType="begin"/>
      </w:r>
      <w:r>
        <w:rPr>
          <w:color w:val="000000"/>
        </w:rPr>
        <w:instrText> HYPERLINK "mailto:centrgz@cgz.tomsk.gov.ru" </w:instrText>
      </w:r>
      <w:r>
        <w:fldChar w:fldCharType="separate"/>
      </w:r>
      <w:r>
        <w:rPr>
          <w:rStyle w:val="Hyperlink"/>
          <w:lang w:val="en-US" w:eastAsia="en-US" w:bidi="en-US"/>
          <w:w w:val="100"/>
          <w:spacing w:val="0"/>
          <w:position w:val="0"/>
        </w:rPr>
        <w:t>centrgz@cgz.tomsk.gov.ru</w:t>
      </w:r>
      <w:r>
        <w:fldChar w:fldCharType="end"/>
      </w:r>
    </w:p>
    <w:p>
      <w:pPr>
        <w:widowControl w:val="0"/>
        <w:spacing w:before="39" w:after="39"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jc w:val="left"/>
        <w:spacing w:before="0" w:after="1080"/>
        <w:ind w:left="5300" w:right="2580" w:firstLine="0"/>
      </w:pPr>
      <w:r>
        <w:rPr>
          <w:lang w:val="ru-RU" w:eastAsia="ru-RU" w:bidi="ru-RU"/>
          <w:w w:val="100"/>
          <w:spacing w:val="0"/>
          <w:color w:val="000000"/>
          <w:position w:val="0"/>
        </w:rPr>
        <w:t xml:space="preserve">ООО "РТС-тендер"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pStyle w:val="Style17"/>
        <w:widowControl w:val="0"/>
        <w:keepNext w:val="0"/>
        <w:keepLines w:val="0"/>
        <w:shd w:val="clear" w:color="auto" w:fill="auto"/>
        <w:bidi w:val="0"/>
        <w:jc w:val="center"/>
        <w:spacing w:before="0" w:after="349"/>
        <w:ind w:left="0" w:right="20" w:firstLine="0"/>
      </w:pPr>
      <w:r>
        <w:rPr>
          <w:lang w:val="ru-RU" w:eastAsia="ru-RU" w:bidi="ru-RU"/>
          <w:w w:val="100"/>
          <w:spacing w:val="0"/>
          <w:color w:val="000000"/>
          <w:position w:val="0"/>
        </w:rPr>
        <w:t>РЕШЕНИЕ по делу №070/06/106-822/2022 по результатам рассмотрения жалобы о нарушении законодательства Российской Федерации о контрактной системе в сфере закупок</w:t>
      </w:r>
    </w:p>
    <w:p>
      <w:pPr>
        <w:pStyle w:val="Style17"/>
        <w:tabs>
          <w:tab w:leader="none" w:pos="9054" w:val="left"/>
        </w:tabs>
        <w:widowControl w:val="0"/>
        <w:keepNext w:val="0"/>
        <w:keepLines w:val="0"/>
        <w:shd w:val="clear" w:color="auto" w:fill="auto"/>
        <w:bidi w:val="0"/>
        <w:spacing w:before="0" w:after="303" w:line="260" w:lineRule="exact"/>
        <w:ind w:left="20" w:right="0" w:firstLine="0"/>
      </w:pPr>
      <w:r>
        <w:rPr>
          <w:lang w:val="ru-RU" w:eastAsia="ru-RU" w:bidi="ru-RU"/>
          <w:w w:val="100"/>
          <w:spacing w:val="0"/>
          <w:color w:val="000000"/>
          <w:position w:val="0"/>
        </w:rPr>
        <w:t>11.11.2022</w:t>
        <w:tab/>
        <w:t>г. Томск</w:t>
      </w:r>
    </w:p>
    <w:p>
      <w:pPr>
        <w:pStyle w:val="Style17"/>
        <w:widowControl w:val="0"/>
        <w:keepNext w:val="0"/>
        <w:keepLines w:val="0"/>
        <w:shd w:val="clear" w:color="auto" w:fill="auto"/>
        <w:bidi w:val="0"/>
        <w:jc w:val="left"/>
        <w:spacing w:before="0" w:after="0"/>
        <w:ind w:left="20" w:right="20" w:firstLine="1000"/>
      </w:pPr>
      <w:r>
        <w:rPr>
          <w:lang w:val="ru-RU" w:eastAsia="ru-RU" w:bidi="ru-RU"/>
          <w:w w:val="100"/>
          <w:spacing w:val="0"/>
          <w:color w:val="000000"/>
          <w:position w:val="0"/>
        </w:rPr>
        <w:t>Комиссия Управления Федеральной антимонопольной службы по Томской области по контролю законодательства о контрактной системе в сфере закупок, рассмотрению информации о включении в реестр недобросовестных поставщиков (далее - Комиссия Томского УФАС России, Комиссия) в составе: председателя комиссии:</w:t>
      </w:r>
    </w:p>
    <w:p>
      <w:pPr>
        <w:pStyle w:val="Style17"/>
        <w:widowControl w:val="0"/>
        <w:keepNext w:val="0"/>
        <w:keepLines w:val="0"/>
        <w:shd w:val="clear" w:color="auto" w:fill="auto"/>
        <w:bidi w:val="0"/>
        <w:jc w:val="left"/>
        <w:spacing w:before="0" w:after="0"/>
        <w:ind w:left="20" w:right="4020" w:firstLine="0"/>
      </w:pPr>
      <w:r>
        <w:rPr>
          <w:lang w:val="ru-RU" w:eastAsia="ru-RU" w:bidi="ru-RU"/>
          <w:w w:val="100"/>
          <w:spacing w:val="0"/>
          <w:color w:val="000000"/>
          <w:position w:val="0"/>
        </w:rPr>
        <w:t>Абдурахманова А.Ф., - заместителя руководителя; членов комиссии:</w:t>
      </w:r>
    </w:p>
    <w:p>
      <w:pPr>
        <w:pStyle w:val="Style17"/>
        <w:tabs>
          <w:tab w:leader="none" w:pos="2857" w:val="right"/>
          <w:tab w:leader="none" w:pos="6111" w:val="center"/>
          <w:tab w:leader="none" w:pos="6111" w:val="center"/>
          <w:tab w:leader="none" w:pos="10158" w:val="righ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Жохова С.В.,</w:t>
        <w:tab/>
        <w:t>-</w:t>
        <w:tab/>
        <w:t>ведущего</w:t>
        <w:tab/>
        <w:t>специалиста-эксперта</w:t>
        <w:tab/>
        <w:t>отдела контроля</w:t>
      </w:r>
    </w:p>
    <w:p>
      <w:pPr>
        <w:pStyle w:val="Style17"/>
        <w:widowControl w:val="0"/>
        <w:keepNext w:val="0"/>
        <w:keepLines w:val="0"/>
        <w:shd w:val="clear" w:color="auto" w:fill="auto"/>
        <w:bidi w:val="0"/>
        <w:jc w:val="left"/>
        <w:spacing w:before="0" w:after="0"/>
        <w:ind w:left="2700" w:right="0" w:firstLine="0"/>
      </w:pPr>
      <w:r>
        <w:rPr>
          <w:lang w:val="ru-RU" w:eastAsia="ru-RU" w:bidi="ru-RU"/>
          <w:w w:val="100"/>
          <w:spacing w:val="0"/>
          <w:color w:val="000000"/>
          <w:position w:val="0"/>
        </w:rPr>
        <w:t>монополистической деятельности;</w:t>
      </w:r>
    </w:p>
    <w:p>
      <w:pPr>
        <w:pStyle w:val="Style17"/>
        <w:tabs>
          <w:tab w:leader="none" w:pos="2857" w:val="right"/>
          <w:tab w:leader="none" w:pos="4374" w:val="right"/>
          <w:tab w:leader="none" w:pos="10158" w:val="righ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Лукьяненка К.К.,</w:t>
        <w:tab/>
        <w:t>-</w:t>
        <w:tab/>
        <w:t>специалиста</w:t>
        <w:tab/>
        <w:t>1 разряда отдела контроля монополистической</w:t>
      </w:r>
    </w:p>
    <w:p>
      <w:pPr>
        <w:pStyle w:val="Style17"/>
        <w:widowControl w:val="0"/>
        <w:keepNext w:val="0"/>
        <w:keepLines w:val="0"/>
        <w:shd w:val="clear" w:color="auto" w:fill="auto"/>
        <w:bidi w:val="0"/>
        <w:jc w:val="left"/>
        <w:spacing w:before="0" w:after="229"/>
        <w:ind w:left="2700" w:right="0" w:firstLine="0"/>
      </w:pPr>
      <w:r>
        <w:rPr>
          <w:lang w:val="ru-RU" w:eastAsia="ru-RU" w:bidi="ru-RU"/>
          <w:w w:val="100"/>
          <w:spacing w:val="0"/>
          <w:color w:val="000000"/>
          <w:position w:val="0"/>
        </w:rPr>
        <w:t>деятельности,</w:t>
      </w:r>
    </w:p>
    <w:p>
      <w:pPr>
        <w:pStyle w:val="Style19"/>
        <w:widowControl w:val="0"/>
        <w:keepNext/>
        <w:keepLines/>
        <w:shd w:val="clear" w:color="auto" w:fill="auto"/>
        <w:bidi w:val="0"/>
        <w:jc w:val="left"/>
        <w:spacing w:before="0" w:after="50" w:line="560" w:lineRule="exact"/>
        <w:ind w:left="20" w:right="0" w:firstLine="0"/>
      </w:pPr>
      <w:bookmarkStart w:id="0" w:name="bookmark0"/>
      <w:r>
        <w:rPr>
          <w:lang w:val="ru-RU" w:eastAsia="ru-RU" w:bidi="ru-RU"/>
          <w:color w:val="000000"/>
          <w:position w:val="0"/>
        </w:rPr>
        <w:t xml:space="preserve">ИНН 1111 </w:t>
      </w:r>
      <w:r>
        <w:rPr>
          <w:color w:val="000000"/>
          <w:position w:val="0"/>
        </w:rPr>
        <w:t>III lilll III III</w:t>
      </w:r>
      <w:bookmarkEnd w:id="0"/>
    </w:p>
    <w:p>
      <w:pPr>
        <w:pStyle w:val="Style15"/>
        <w:widowControl w:val="0"/>
        <w:keepNext w:val="0"/>
        <w:keepLines w:val="0"/>
        <w:shd w:val="clear" w:color="auto" w:fill="auto"/>
        <w:bidi w:val="0"/>
        <w:spacing w:before="0" w:after="0" w:line="220" w:lineRule="exact"/>
        <w:ind w:left="20" w:right="0" w:firstLine="0"/>
      </w:pPr>
      <w:r>
        <w:rPr>
          <w:lang w:val="en-US" w:eastAsia="en-US" w:bidi="en-US"/>
          <w:w w:val="100"/>
          <w:spacing w:val="0"/>
          <w:color w:val="000000"/>
          <w:position w:val="0"/>
        </w:rPr>
        <w:t>2022-1495</w:t>
      </w:r>
      <w:r>
        <w:br w:type="page"/>
      </w:r>
    </w:p>
    <w:p>
      <w:pPr>
        <w:pStyle w:val="Style17"/>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рассмотрев жалобу ООО «АК АвисКом» (далее - Заявитель) на действия аукционной комиссии ОГКУ «Центр государственных закупок» (далее - Уполномоченное учреждение, ОГКУ «ЦГЗ») при осуществлении закупки в форме электронного аукциона «Выполнение лесоавиационных работ с привлечением самолета АН-2. Место базирования возду</w:t>
      </w:r>
      <w:r>
        <w:rPr>
          <w:rStyle w:val="CharStyle21"/>
        </w:rPr>
        <w:t>шн</w:t>
      </w:r>
      <w:r>
        <w:rPr>
          <w:lang w:val="ru-RU" w:eastAsia="ru-RU" w:bidi="ru-RU"/>
          <w:w w:val="100"/>
          <w:spacing w:val="0"/>
          <w:color w:val="000000"/>
          <w:position w:val="0"/>
        </w:rPr>
        <w:t>ых судов Верхнекетский район Томской области» (извещение № 0865200000322002083) (далее - аукцион), и проведя внеплановую проверку в соответствии с пунктом 1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44-ФЗ),</w:t>
      </w:r>
    </w:p>
    <w:p>
      <w:pPr>
        <w:pStyle w:val="Style17"/>
        <w:widowControl w:val="0"/>
        <w:keepNext w:val="0"/>
        <w:keepLines w:val="0"/>
        <w:shd w:val="clear" w:color="auto" w:fill="auto"/>
        <w:bidi w:val="0"/>
        <w:spacing w:before="0" w:after="289"/>
        <w:ind w:left="20" w:right="20" w:firstLine="700"/>
      </w:pPr>
      <w:r>
        <w:rPr>
          <w:lang w:val="ru-RU" w:eastAsia="ru-RU" w:bidi="ru-RU"/>
          <w:w w:val="100"/>
          <w:spacing w:val="0"/>
          <w:color w:val="000000"/>
          <w:position w:val="0"/>
        </w:rPr>
        <w:t>при участии посредством ВКС представителей ОГСБУ «Томская Авиабаза» (далее - Заказчик) Кулинцевой Е.С. (доверенность № 12 от 25.04.2022), Филипповой Ю.А. (доверенность № 32 от 09.11.2022), представителя Заявителя Хлыбова Е.А. (доверенность б/н от 01.01.2022), представителей ОГКУ «Центр государственных закупок Томской области» (далее - ОГКУ «ЦГЗ», уполномоченное учреждение) Щеголевой Е.С. (доверенность № 14 от 15.06.2022), Чеснокова В.А. (доверенность № 4 от 10.01.2022), представителя автономной некоммерческой организации дополнительного профессионального образования «Ишимский авиационно</w:t>
        <w:softHyphen/>
        <w:t>технический спортивный клуб общероссийской общественно-государственной организации «Добровольное общество содействия армии, авиации и флоту России» (далее - Заинтересованное лицо) Гусева И.Н. (доверенность № 8)</w:t>
      </w:r>
    </w:p>
    <w:p>
      <w:pPr>
        <w:pStyle w:val="Style17"/>
        <w:widowControl w:val="0"/>
        <w:keepNext w:val="0"/>
        <w:keepLines w:val="0"/>
        <w:shd w:val="clear" w:color="auto" w:fill="auto"/>
        <w:bidi w:val="0"/>
        <w:jc w:val="left"/>
        <w:spacing w:before="0" w:after="303" w:line="260" w:lineRule="exact"/>
        <w:ind w:left="4160" w:right="0" w:firstLine="0"/>
      </w:pPr>
      <w:r>
        <w:rPr>
          <w:rStyle w:val="CharStyle25"/>
        </w:rPr>
        <w:t>УСТАНОВИЛА:</w:t>
      </w:r>
    </w:p>
    <w:p>
      <w:pPr>
        <w:pStyle w:val="Style17"/>
        <w:tabs>
          <w:tab w:leader="none" w:pos="2209" w:val="left"/>
        </w:tabs>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Томское УФАС России обратился Заявитель с жалобой, поданной в срок и соответствующей статье 105 Закона 44-ФЗ, на действия аукционной комиссии Уполномоченного учреждения при осуществлении закупки в форме электронного аукциона «Выполнение лесоавиационных работ с привлечением самолета АН-2. Место базирования воздушных судов Верхнекетский район Томской области» (извещение №</w:t>
        <w:tab/>
        <w:t>086520000322002083), нарушающие, по мнению Заявителя,</w:t>
      </w:r>
    </w:p>
    <w:p>
      <w:pPr>
        <w:pStyle w:val="Style17"/>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законодательство о контрактной системе в сфере закупок товаров, работ, услуг для обеспечения государственных и муниципальных нужд.</w:t>
      </w:r>
    </w:p>
    <w:p>
      <w:pPr>
        <w:pStyle w:val="Style17"/>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Из жалобы Заявителя следует, что аукционная комиссия ОГКУ «ЦГЗ» нарушила законодательство о контрактной системе ввиду того, что признала соответствующей требованиям извещения заявку Заинтересованного лица. По мнению Заявителя, заявка Заинтересованного лица не соответствовала требованиям извещения закупки, поскольку техническим заданием извещения установлено, что участник закупки должен предоставить сертификат (свидетельство) эксплуатанта воздушных судов, если участником закупки электронного аукциона не является организацией государственной авиации. По мнению Заявителя, Заинтересованное лицо не является организацией государственной авиации, и при этом сертификат эксплуатанта не предоставил. Также заявитель ссылается на Письмо Министерства обороны Российской Федерации «Разъясняющее письмо о статусе ДОСААФ России и отношении авиации ДОСААФ к государственной авиации», в котором сказано, что</w:t>
      </w:r>
    </w:p>
    <w:p>
      <w:pPr>
        <w:pStyle w:val="Style17"/>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авиация ДОСААФ России не относится к государственной авиации.</w:t>
      </w:r>
    </w:p>
    <w:p>
      <w:pPr>
        <w:pStyle w:val="Style1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Представитель Заявителя утверждает, что организация Заинтересованного лица не относится к государственной организации, потому что является автономной некоммерческой организацией, и пользуется воздушными судами, переданными на безвозмездной основе. Согласно подпункту «д» пункта 2 Постановления Правительства РФ от 28.11.2009 № 973 «Об Общероссийской общественно</w:t>
        <w:softHyphen/>
        <w:t>государственной организации «Добровольное общество содействия армии, авиации и флоту России», согласиться с тем, что ДОСААФ России выполняет следующие государственные задачи: летная подготовка курсантов летных образовательных учреждений профессионального образования, поддержание надлежащего уровня натренированности летного и инженерно-технического состава, а также выполнение иных видов авиационных работ. Представитель Заявителя утверждает, что указание на такие работы имеется в пункте 1 Постановлении Правительства РФ от 30.07.1999 № 862 «Об использовании государственной и экспериментальной авиации в коммерческих целях», где сказано, что федеральным органам исполнительной власти и Государственной корпорации по космической деятельности «Роскосмос», в ведении которых находятся государственные воздушные суда, разрешено использовать их для нерегулярных коммерческих перевозок пассажиров и грузов при соблюдении требований возду</w:t>
      </w:r>
      <w:r>
        <w:rPr>
          <w:rStyle w:val="CharStyle21"/>
        </w:rPr>
        <w:t>шн</w:t>
      </w:r>
      <w:r>
        <w:rPr>
          <w:lang w:val="ru-RU" w:eastAsia="ru-RU" w:bidi="ru-RU"/>
          <w:w w:val="100"/>
          <w:spacing w:val="0"/>
          <w:color w:val="000000"/>
          <w:position w:val="0"/>
        </w:rPr>
        <w:t>ого законодательства Российской Федерации.</w:t>
      </w:r>
    </w:p>
    <w:p>
      <w:pPr>
        <w:pStyle w:val="Style1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При этом представитель Заявителя поясняет, что организация ДОСААФ России не имеет права осуществлять коммерческую деятельность, поскольку является автономной некоммерческой организацией, и может осуществлять только ту деятельность, которая приносит доход.</w:t>
      </w:r>
    </w:p>
    <w:p>
      <w:pPr>
        <w:pStyle w:val="Style1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Представитель Уполномоченного учреждения пояснил, что организация Заинтересованного лица представляет воздушные суда для выполнения задач государственной авиации, и сертификат эксплуатанта воздушных судов предоставлять не должна. ОГКУ «ЦГЗ» также пояснило, что ссылка Заявителя на Письмо Министерства обороны Российской Федерации «Разъясняющее письмо о статусе ДОСААФ России и отношении авиации ДОСААФ к государственной авиации», где говорится, что авиация ДОСААФ России может выполнять авиационные работы воздушными судами, зарегистрированными в Государственном реестре гражданских воздушных судов, не является нормативным правовым актом, и обязательному применению не подлежит.</w:t>
      </w:r>
    </w:p>
    <w:p>
      <w:pPr>
        <w:pStyle w:val="Style1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Представители Заказчика поддержали доводы представителей Уполномоченного учреждения.</w:t>
      </w:r>
    </w:p>
    <w:p>
      <w:pPr>
        <w:pStyle w:val="Style1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Представитель Заинтересованного лица поддержал доводы представителей Уполномоченного учреждения.</w:t>
      </w:r>
    </w:p>
    <w:p>
      <w:pPr>
        <w:pStyle w:val="Style1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Заявитель просит признать жалобу обоснованной, выдать Заказчику предписание о внесении изменений в извещение по основаниям, изложенным в отзыве и дополнениях к нему.</w:t>
      </w:r>
    </w:p>
    <w:p>
      <w:pPr>
        <w:pStyle w:val="Style1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Уполномоченное учреждение в письменных возражениях на жалобу указало, что с доводами, изложенными в жалобе не согласно, просит признать жалобу необоснованной на основании письменных пояснений и дополнений к ним.</w:t>
      </w:r>
    </w:p>
    <w:p>
      <w:pPr>
        <w:pStyle w:val="Style17"/>
        <w:widowControl w:val="0"/>
        <w:keepNext w:val="0"/>
        <w:keepLines w:val="0"/>
        <w:shd w:val="clear" w:color="auto" w:fill="auto"/>
        <w:bidi w:val="0"/>
        <w:spacing w:before="0" w:after="0"/>
        <w:ind w:left="0" w:right="0" w:firstLine="700"/>
      </w:pPr>
      <w:r>
        <w:rPr>
          <w:lang w:val="ru-RU" w:eastAsia="ru-RU" w:bidi="ru-RU"/>
          <w:w w:val="100"/>
          <w:spacing w:val="0"/>
          <w:color w:val="000000"/>
          <w:position w:val="0"/>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Томского УФАС России установила следующее.</w:t>
      </w:r>
    </w:p>
    <w:p>
      <w:pPr>
        <w:pStyle w:val="Style1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Извещение о проведении электронного аукциона № 086520000322002083 размещено на Официальном сайте единой информационной системы в сфере закупок в информационно-телекоммуникационной сети Интернет (далее - Официальный сайт, ЕИС) 19.10.2022.</w:t>
      </w:r>
    </w:p>
    <w:p>
      <w:pPr>
        <w:pStyle w:val="Style17"/>
        <w:widowControl w:val="0"/>
        <w:keepNext w:val="0"/>
        <w:keepLines w:val="0"/>
        <w:shd w:val="clear" w:color="auto" w:fill="auto"/>
        <w:bidi w:val="0"/>
        <w:spacing w:before="0" w:after="0"/>
        <w:ind w:left="0" w:right="0" w:firstLine="700"/>
      </w:pPr>
      <w:r>
        <w:rPr>
          <w:lang w:val="ru-RU" w:eastAsia="ru-RU" w:bidi="ru-RU"/>
          <w:w w:val="100"/>
          <w:spacing w:val="0"/>
          <w:color w:val="000000"/>
          <w:position w:val="0"/>
        </w:rPr>
        <w:t>Начальная (максимальная) цена контракта составляет 15 428 550,94 руб.</w:t>
      </w:r>
    </w:p>
    <w:p>
      <w:pPr>
        <w:pStyle w:val="Style17"/>
        <w:widowControl w:val="0"/>
        <w:keepNext w:val="0"/>
        <w:keepLines w:val="0"/>
        <w:shd w:val="clear" w:color="auto" w:fill="auto"/>
        <w:bidi w:val="0"/>
        <w:spacing w:before="0" w:after="64" w:line="326" w:lineRule="exact"/>
        <w:ind w:left="0" w:right="20" w:firstLine="700"/>
      </w:pPr>
      <w:r>
        <w:rPr>
          <w:lang w:val="ru-RU" w:eastAsia="ru-RU" w:bidi="ru-RU"/>
          <w:w w:val="100"/>
          <w:spacing w:val="0"/>
          <w:color w:val="000000"/>
          <w:position w:val="0"/>
        </w:rPr>
        <w:t>Объект закупки - «Выполнение лесоавиационных работ с привлечением самолета АН-2. Место базирования воздушных судов Верхнекетский район Томской области».</w:t>
      </w:r>
    </w:p>
    <w:p>
      <w:pPr>
        <w:pStyle w:val="Style1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Согласно протоколу подведения итогов определения поставщика (подрядчика, исполнителя) для закупки № 086520000322002083 от 01.11.2022 на участие в аукционе было подано четыре заявки.</w:t>
      </w:r>
    </w:p>
    <w:p>
      <w:pPr>
        <w:pStyle w:val="Style1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В соответствии с частью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1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pPr>
        <w:pStyle w:val="Style1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В соответствии с пунктом 1 части 1 статьи 31 Закона о контрактной системе при осуществлении закупки заказчик устанавливает следующие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7"/>
        <w:widowControl w:val="0"/>
        <w:keepNext w:val="0"/>
        <w:keepLines w:val="0"/>
        <w:shd w:val="clear" w:color="auto" w:fill="auto"/>
        <w:bidi w:val="0"/>
        <w:spacing w:before="0" w:after="0"/>
        <w:ind w:left="0" w:right="20" w:firstLine="700"/>
      </w:pPr>
      <w:r>
        <w:rPr>
          <w:lang w:val="ru-RU" w:eastAsia="ru-RU" w:bidi="ru-RU"/>
          <w:w w:val="100"/>
          <w:spacing w:val="0"/>
          <w:color w:val="000000"/>
          <w:position w:val="0"/>
        </w:rPr>
        <w:t>Согласно подпункту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7"/>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электронному документу «ТЗ» извещения № 0865200000322002083, на борту воздушных судов должны находиться сертификат (свидетельство) эксплуатанта воздушных судов (копия), при этом данное требование не распространяется на организации государственной авиации.</w:t>
      </w:r>
    </w:p>
    <w:p>
      <w:pPr>
        <w:pStyle w:val="Style17"/>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При подаче заявки на участие в закупке Заинтересованным лицом не предоставлен сертификат (свидетельство) эксплуатанта воздушных судов. Согласно электронному документу «Протокол подведения итогов ЭА» извещения № 0865200000322002083, заявка Заинтересованного лица под номером 112845848 соответствует требованиям Закона о контрактной системе.</w:t>
      </w:r>
    </w:p>
    <w:p>
      <w:pPr>
        <w:pStyle w:val="Style17"/>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Правовые основы использования воздушного пространства Российской Федерации и деятельности в области авиации закреплены в Воздушном кодексе РФ. Государственное регулирование использования воздушного пространства Российской Федерации и деятельности в области авиации направлено на обеспечение потребностей граждан и экономики в воздушных перевозках, авиационных работах, а также на обеспечение обороны и безопасности государства, охраны интересов государства, безопасности полетов воздушных судов, авиационной и экологической безопасности.</w:t>
      </w:r>
    </w:p>
    <w:p>
      <w:pPr>
        <w:pStyle w:val="Style17"/>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Требования статьи 8 Воздушного кодекса Российской Федерации об обязательной сертификации и аттестации распространяются только на гражданскую авиацию.</w:t>
      </w:r>
    </w:p>
    <w:p>
      <w:pPr>
        <w:pStyle w:val="Style17"/>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статье 20 Возду</w:t>
      </w:r>
      <w:r>
        <w:rPr>
          <w:rStyle w:val="CharStyle21"/>
        </w:rPr>
        <w:t>шн</w:t>
      </w:r>
      <w:r>
        <w:rPr>
          <w:lang w:val="ru-RU" w:eastAsia="ru-RU" w:bidi="ru-RU"/>
          <w:w w:val="100"/>
          <w:spacing w:val="0"/>
          <w:color w:val="000000"/>
          <w:position w:val="0"/>
        </w:rPr>
        <w:t>ого кодекса Российской Федерации указано, что авиация подразделяется на гражданскую, государственную и экспериментальную авиацию.</w:t>
      </w:r>
    </w:p>
    <w:p>
      <w:pPr>
        <w:pStyle w:val="Style17"/>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пункта 3 статьи 61 Воздушного кодекса РФ эксплуатант - гражданин или юридическое лицо, имеющие воздушное судно на праве собственности, на условиях аренды или на ином законном основании, использующие указанное воздушное судно для полетов и имеющие сертификат (свидетельство) эксплуатанта.</w:t>
      </w:r>
    </w:p>
    <w:p>
      <w:pPr>
        <w:pStyle w:val="Style17"/>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Частью 1 статьи 22 Воздушного кодекса РФ предусмотрено, что к государственной авиации относится авиация, используемая в целях осуществления функций государства и обеспечения решения указанных в данном пункте задач военных и специальных. Государственная авиация, используемая для решения задач в области обороны Российской Федерации Вооруженными Силами Российской Федерации, привлекаемыми в этих целях другими войсками, воинскими формированиями и органами, относится к государственной военной авиации. Государственная авиация, используемая для решения возложенных на федеральные органы исполнительной власти задач в области обеспечения безопасности Российской Федерации, сфере обеспечения безопасности объектов государственной охраны, сфере внутренних дел, а также в областях таможенного дела, космической деятельности, гражданской обороны, защиты населения и территорий от чрезвычайных ситуаций природного и техногенного характера, в том числе обеспечения безопасности людей на водных объектах и пожарной безопасности, относится к государственной авиации специального назначения.</w:t>
      </w:r>
    </w:p>
    <w:p>
      <w:pPr>
        <w:pStyle w:val="Style17"/>
        <w:tabs>
          <w:tab w:leader="none" w:pos="6039" w:val="left"/>
        </w:tabs>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Согласно информации извещения №</w:t>
        <w:tab/>
        <w:t>0865200000322002083, объектом</w:t>
      </w:r>
    </w:p>
    <w:p>
      <w:pPr>
        <w:pStyle w:val="Style17"/>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закупки является «Выполнение лесоавиационных работ с привлечением самолета АН-2. Место базирования воздушных судов Верхнекетский район Томской области». Согласно электронному документу «ТЗ» указанного извещения, в перечень работ входит выполнение полетов для проведения воздушной тренировки работников авиапожарной службы заказчика, выполнение полетов по осуществлению работниками авиапожарной службы заказчика авиапатрулирования и лесопатологического общего надзора лесов, выполнение полетов для доставки сил и средств заказчика к местам действующих лесных пожаров для их тушения работниками заказчика.</w:t>
      </w:r>
    </w:p>
    <w:p>
      <w:pPr>
        <w:pStyle w:val="Style1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силу статьи 57 Лесного кодекса РФ, к специальным авиационным работам относятся тушение пожаров, ведение воздушной, инженерной, радиационной, химической, пожарной разведки и мониторинга местности, обработка заданных объектов химическими и биологическими препаратами, авиационно-монтажные и демонтажные работы, ликвидация ледовых заторов в естественных и искусственных водоемах.</w:t>
      </w:r>
    </w:p>
    <w:p>
      <w:pPr>
        <w:pStyle w:val="Style17"/>
        <w:tabs>
          <w:tab w:leader="none" w:pos="1590" w:val="left"/>
          <w:tab w:leader="none" w:pos="2166" w:val="left"/>
        </w:tabs>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пункту 334 приказу Министра обороны Российской Федерации от 24.09.2004</w:t>
        <w:tab/>
        <w:t>№</w:t>
        <w:tab/>
        <w:t>275 «Об утверждении Федеральных авиационных правил</w:t>
      </w:r>
    </w:p>
    <w:p>
      <w:pPr>
        <w:pStyle w:val="Style17"/>
        <w:tabs>
          <w:tab w:leader="none" w:pos="2890" w:val="left"/>
        </w:tabs>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производства полетов государственной авиации», к специальным авиационным работам относятся:</w:t>
        <w:tab/>
        <w:t>тушение пожаров, ведение воздушной, инженерной,</w:t>
      </w:r>
    </w:p>
    <w:p>
      <w:pPr>
        <w:pStyle w:val="Style17"/>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радиационной, химической, пожарной разведки и мониторинга местности, обработка заданных объектов химическими и биологическими препаратами, авиационно-монтажные и демонтажные работы, ликвидация ледовых заторов в естественных и искусственных водоемах.</w:t>
      </w:r>
    </w:p>
    <w:p>
      <w:pPr>
        <w:pStyle w:val="Style17"/>
        <w:tabs>
          <w:tab w:leader="none" w:pos="3894" w:val="left"/>
          <w:tab w:leader="none" w:pos="4518" w:val="left"/>
        </w:tabs>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соответствии с пунктом 2 постановления Правительства Российской Федерации от 28.11.2009</w:t>
        <w:tab/>
        <w:t>№</w:t>
        <w:tab/>
        <w:t>973 «Об Общероссийской общественно</w:t>
        <w:softHyphen/>
      </w:r>
    </w:p>
    <w:p>
      <w:pPr>
        <w:pStyle w:val="Style17"/>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государственной организации «Добровольное общество содействия армии, авиации и флоту России» (далее - постановление № 973) ДОСААФ России выполняет следующие государственные задачи:</w:t>
      </w:r>
    </w:p>
    <w:p>
      <w:pPr>
        <w:pStyle w:val="Style17"/>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а) патриотическое (военно-патриотическое) воспитание граждан;</w:t>
      </w:r>
    </w:p>
    <w:p>
      <w:pPr>
        <w:pStyle w:val="Style17"/>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б) подготовка граждан по военно-учетным специальностям;</w:t>
      </w:r>
    </w:p>
    <w:p>
      <w:pPr>
        <w:pStyle w:val="Style17"/>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в) развитие авиационных и технических видов спорта;</w:t>
      </w:r>
    </w:p>
    <w:p>
      <w:pPr>
        <w:pStyle w:val="Style1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г) участие в развитии физической культуры и военно-прикладных видов спорта;</w:t>
      </w:r>
    </w:p>
    <w:p>
      <w:pPr>
        <w:pStyle w:val="Style1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д) летная подготовка курсантов летных образовательных учреждений профессионального образования, поддержание надлежащего уровня натренированности летного и инженерно-технического состава, а также выполнение иных видов авиационных работ;</w:t>
      </w:r>
    </w:p>
    <w:p>
      <w:pPr>
        <w:pStyle w:val="Style17"/>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е) участие в подготовке к военной службе граждан, пребывающих в запасе;</w:t>
      </w:r>
    </w:p>
    <w:p>
      <w:pPr>
        <w:pStyle w:val="Style1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ж) подготовка специалистов массовых технических профессий и развитие технического творчества;</w:t>
      </w:r>
    </w:p>
    <w:p>
      <w:pPr>
        <w:pStyle w:val="Style1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з) участие в ликвидации последствий стихийных бедствий, аварий, катастроф и других чрезвычайных ситуаций;</w:t>
      </w:r>
    </w:p>
    <w:p>
      <w:pPr>
        <w:pStyle w:val="Style17"/>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и) содержание объектов инфраструктуры ДОСААФ России в целях выполнения задач в период мобилизации и в военное время.</w:t>
      </w:r>
    </w:p>
    <w:p>
      <w:pPr>
        <w:pStyle w:val="Style17"/>
        <w:tabs>
          <w:tab w:leader="none" w:pos="3024" w:val="left"/>
          <w:tab w:leader="none" w:pos="5818" w:val="left"/>
          <w:tab w:leader="none" w:pos="10193" w:val="right"/>
        </w:tabs>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Автономная</w:t>
        <w:tab/>
        <w:t>некоммерческая</w:t>
        <w:tab/>
        <w:t>организация</w:t>
        <w:tab/>
        <w:t>дополнительного</w:t>
      </w:r>
    </w:p>
    <w:p>
      <w:pPr>
        <w:pStyle w:val="Style17"/>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профессионального образования «Ишимский авиационно-технический спортивный клуб общероссийской общественно-государственной организации «Добровольное общество содействия армии, авиации и флоту России» является структурной единицей ДОСААФ России. Следовательно, авиацию, используемую организацией, входящей в структуру ДОСААФ России, для выполнения авиационных работ в порядке участия в ликвидации последствий стихийных бедствий, аварий, катастроф и других чрезвычайных ситуаций, а также выполнение иных видов авиационных работ следует относить к государственной авиации, за исключением тех случаев, когда ее суда непосредственно зарегистрированы в реестре воздушных судов гражданской авиации.</w:t>
      </w:r>
    </w:p>
    <w:p>
      <w:pPr>
        <w:pStyle w:val="Style17"/>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Доказательств того, что воздушные суда, находящиеся на содержании организации Заинтересованного лица, и предполагаемые к использованию по оказанию услуги объекта закупки, зарегистрированы в реестре воздушных судов гражданской авиации, не представлены.</w:t>
      </w:r>
    </w:p>
    <w:p>
      <w:pPr>
        <w:pStyle w:val="Style17"/>
        <w:tabs>
          <w:tab w:leader="none" w:pos="4752" w:val="right"/>
          <w:tab w:leader="none" w:pos="7090" w:val="right"/>
        </w:tabs>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Заявитель ссылается на письмо Министерство обороны Российской Федерации «Разъясняющее письмо о статусе ДОСААФ России и отношении авиации ДОСААФ к государственной авиации», где в абзаце 3 указано, что Постановление № 973 противоречит требованиям статьи 22 Воздушного кодекса Российской Федерации в части выполнения государственных задач государственной авиацией, к которой отнесение авиации ДОСААФ России не предусмотрено. Неоднократно предлагаемые законодательные инициативы внести в статью 22 Кодекса дополнения, касающиеся отнесения авиации ДОСААФ России к государственной</w:t>
        <w:tab/>
        <w:t>авиации, Правительством</w:t>
        <w:tab/>
        <w:t>Российской Федерации не</w:t>
      </w:r>
    </w:p>
    <w:p>
      <w:pPr>
        <w:pStyle w:val="Style17"/>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поддержаны.</w:t>
      </w:r>
    </w:p>
    <w:p>
      <w:pPr>
        <w:pStyle w:val="Style17"/>
        <w:tabs>
          <w:tab w:leader="none" w:pos="4752" w:val="right"/>
          <w:tab w:leader="none" w:pos="4898" w:val="left"/>
          <w:tab w:leader="none" w:pos="7090" w:val="right"/>
          <w:tab w:leader="none" w:pos="8145" w:val="center"/>
          <w:tab w:leader="none" w:pos="10193" w:val="right"/>
        </w:tabs>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Комиссия Томского УФАС России считает данный довод Заявителя необснованным, поскольку указанное письмо не соответствует требованиям Правил подготовки</w:t>
        <w:tab/>
        <w:t>нормативных</w:t>
        <w:tab/>
        <w:t>правовых</w:t>
        <w:tab/>
        <w:t>актов</w:t>
        <w:tab/>
        <w:t>федеральных</w:t>
        <w:tab/>
        <w:t>органов</w:t>
      </w:r>
    </w:p>
    <w:p>
      <w:pPr>
        <w:pStyle w:val="Style17"/>
        <w:tabs>
          <w:tab w:leader="none" w:pos="4752" w:val="right"/>
          <w:tab w:leader="none" w:pos="4898" w:val="left"/>
          <w:tab w:leader="none" w:pos="7090" w:val="right"/>
          <w:tab w:leader="none" w:pos="8145" w:val="center"/>
          <w:tab w:leader="none" w:pos="10193" w:val="right"/>
        </w:tabs>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исполнительной власти и их государственной регистрации, установленных Постановлением Правительства РФ от 13.08.1997 № 1009 «Об утверждении Правил подготовки</w:t>
        <w:tab/>
        <w:t>нормативных</w:t>
        <w:tab/>
        <w:t>правовых</w:t>
        <w:tab/>
        <w:t>актов</w:t>
        <w:tab/>
        <w:t>федеральных</w:t>
        <w:tab/>
        <w:t>органов</w:t>
      </w:r>
    </w:p>
    <w:p>
      <w:pPr>
        <w:pStyle w:val="Style17"/>
        <w:tabs>
          <w:tab w:leader="none" w:pos="4752" w:val="right"/>
          <w:tab w:leader="none" w:pos="4893" w:val="left"/>
          <w:tab w:leader="none" w:pos="8145" w:val="center"/>
          <w:tab w:leader="none" w:pos="10193" w:val="right"/>
        </w:tabs>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исполнительной власти и их государственной регистрации», а также не является нормативным правовым актом, то есть письменным официальным документом, принятым (изданным) в определенной форме правотворческим органом в пределах его компетенции и</w:t>
        <w:tab/>
        <w:t>направленный</w:t>
        <w:tab/>
        <w:t>на установление,</w:t>
        <w:tab/>
        <w:t>изменение или</w:t>
        <w:tab/>
        <w:t>отмену</w:t>
      </w:r>
    </w:p>
    <w:p>
      <w:pPr>
        <w:pStyle w:val="Style17"/>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правовых норм. Данное письмо является разъяснительным документом, носящим официальный характер, которое не устанавливает, не изменяет и не отменяет действующие правоотношения.</w:t>
      </w:r>
    </w:p>
    <w:p>
      <w:pPr>
        <w:pStyle w:val="Style17"/>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Следовательно, установленные статьей 8 Воздушного кодекса Российской Федерации требования об обязательной сертификации не распространяются на организацию, входящую в структуру ДОСААФ России, поскольку ее воздушные суда не относятся к гражданской авиации.</w:t>
      </w:r>
    </w:p>
    <w:p>
      <w:pPr>
        <w:pStyle w:val="Style17"/>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В силу пункта 4 статьи 61 Воздушного кодекса РФ использование физическим лицом, юридическим лицом воздушного судна в целях, определенных для государственной авиации и (или) экспериментальной авиации, а также использование легкого гражданского воздушного судна авиации общего назначения либо сверхлегкого гражданского воздушного судна авиации общего назначения не влечет за собой обязанность получения физическим лицом, юридическим лицом сертификата (свидетельства) эксплуатанта или эквивалентного этому сертификату (свидетельству) документа.</w:t>
      </w:r>
    </w:p>
    <w:p>
      <w:pPr>
        <w:pStyle w:val="Style17"/>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На основании вышеизложенного можно заключить, что отсутствие в заявке Заинтересованного лица сертификата эксплуатанта воздушных судов при наличии у него иного документа, дающего в соответствии с нормами Воздушного кодекса Российской Федерации право на эксплуатацию воздушных судов, не является препятствием в допуске к участию в аукционе.</w:t>
      </w:r>
    </w:p>
    <w:p>
      <w:pPr>
        <w:pStyle w:val="Style17"/>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Следовательно, Заинтересованное лицо не должно было предоставлять при подаче заявки на участие в закупке сертификат эксплуатанта воздушного судна.</w:t>
      </w:r>
    </w:p>
    <w:p>
      <w:pPr>
        <w:pStyle w:val="Style17"/>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Таким образом, представленные в заявке Заинтересованного лица документы соответствуют условиям закупки, в связи с чем в действиях аукционной комиссии ОГКУ «ЦГЗ», признавшей заявку соответствующей требованиям извещения, отсутствуют нарушения Закона о контрактной системе.</w:t>
      </w:r>
    </w:p>
    <w:p>
      <w:pPr>
        <w:pStyle w:val="Style17"/>
        <w:widowControl w:val="0"/>
        <w:keepNext w:val="0"/>
        <w:keepLines w:val="0"/>
        <w:shd w:val="clear" w:color="auto" w:fill="auto"/>
        <w:bidi w:val="0"/>
        <w:spacing w:before="0" w:after="349"/>
        <w:ind w:left="20" w:right="20" w:firstLine="700"/>
      </w:pPr>
      <w:r>
        <w:rPr>
          <w:lang w:val="ru-RU" w:eastAsia="ru-RU" w:bidi="ru-RU"/>
          <w:w w:val="100"/>
          <w:spacing w:val="0"/>
          <w:color w:val="000000"/>
          <w:position w:val="0"/>
        </w:rPr>
        <w:t>Принимая во внимание вышеизложенное, и руководствуясь статьей 14, статьей 42, статьей 49, статьей 105, статьей 106 Закона 44-ФЗ, Комиссия Томского УФАС России,</w:t>
      </w:r>
    </w:p>
    <w:p>
      <w:pPr>
        <w:pStyle w:val="Style17"/>
        <w:widowControl w:val="0"/>
        <w:keepNext w:val="0"/>
        <w:keepLines w:val="0"/>
        <w:shd w:val="clear" w:color="auto" w:fill="auto"/>
        <w:bidi w:val="0"/>
        <w:jc w:val="left"/>
        <w:spacing w:before="0" w:after="303" w:line="260" w:lineRule="exact"/>
        <w:ind w:left="4640" w:right="0" w:firstLine="0"/>
      </w:pPr>
      <w:r>
        <w:rPr>
          <w:lang w:val="ru-RU" w:eastAsia="ru-RU" w:bidi="ru-RU"/>
          <w:w w:val="100"/>
          <w:spacing w:val="0"/>
          <w:color w:val="000000"/>
          <w:position w:val="0"/>
        </w:rPr>
        <w:t>Р Е Ш И Л А:</w:t>
      </w:r>
    </w:p>
    <w:p>
      <w:pPr>
        <w:pStyle w:val="Style17"/>
        <w:numPr>
          <w:ilvl w:val="0"/>
          <w:numId w:val="1"/>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Признать жалобу ООО «АК АвсиКом» на действия аукционной комиссии ОГКУ «Центр государственных закупок» при осуществлении закупки в форме электронного аукциона «Выполнение лесоавиационных работ с привлечением самолета АН-2. Место базирования воздушных судов Верхнекетский район Томской области» (извещение № 086520000322002083) необоснованной.</w:t>
      </w:r>
    </w:p>
    <w:p>
      <w:pPr>
        <w:pStyle w:val="Style17"/>
        <w:numPr>
          <w:ilvl w:val="0"/>
          <w:numId w:val="1"/>
        </w:numPr>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 xml:space="preserve"> Предписание не выдавать</w:t>
      </w:r>
    </w:p>
    <w:p>
      <w:pPr>
        <w:pStyle w:val="Style17"/>
        <w:numPr>
          <w:ilvl w:val="0"/>
          <w:numId w:val="1"/>
        </w:numPr>
        <w:widowControl w:val="0"/>
        <w:keepNext w:val="0"/>
        <w:keepLines w:val="0"/>
        <w:shd w:val="clear" w:color="auto" w:fill="auto"/>
        <w:bidi w:val="0"/>
        <w:spacing w:before="0" w:after="304"/>
        <w:ind w:left="20" w:right="0" w:firstLine="700"/>
      </w:pPr>
      <w:r>
        <w:rPr>
          <w:lang w:val="ru-RU" w:eastAsia="ru-RU" w:bidi="ru-RU"/>
          <w:w w:val="100"/>
          <w:spacing w:val="0"/>
          <w:color w:val="000000"/>
          <w:position w:val="0"/>
        </w:rPr>
        <w:t xml:space="preserve"> Выдать Заказчику предписание об устранении выявленных нарушений.</w:t>
      </w:r>
    </w:p>
    <w:p>
      <w:pPr>
        <w:pStyle w:val="Style17"/>
        <w:widowControl w:val="0"/>
        <w:keepNext w:val="0"/>
        <w:keepLines w:val="0"/>
        <w:shd w:val="clear" w:color="auto" w:fill="auto"/>
        <w:bidi w:val="0"/>
        <w:spacing w:before="0" w:after="39" w:line="317" w:lineRule="exact"/>
        <w:ind w:left="20" w:right="20" w:firstLine="700"/>
      </w:pPr>
      <w:r>
        <w:rPr>
          <w:lang w:val="ru-RU" w:eastAsia="ru-RU" w:bidi="ru-RU"/>
          <w:w w:val="100"/>
          <w:spacing w:val="0"/>
          <w:color w:val="000000"/>
          <w:position w:val="0"/>
        </w:rPr>
        <w:t>Настоящее решение может быть обжаловано в судебном порядке в течение трех месяцев в установленном законом порядке.</w:t>
      </w:r>
    </w:p>
    <w:p>
      <w:pPr>
        <w:pStyle w:val="Style17"/>
        <w:tabs>
          <w:tab w:leader="none" w:pos="8271" w:val="right"/>
          <w:tab w:leader="none" w:pos="10114" w:val="right"/>
        </w:tabs>
        <w:widowControl w:val="0"/>
        <w:keepNext w:val="0"/>
        <w:keepLines w:val="0"/>
        <w:shd w:val="clear" w:color="auto" w:fill="auto"/>
        <w:bidi w:val="0"/>
        <w:spacing w:before="0" w:after="0" w:line="643" w:lineRule="exact"/>
        <w:ind w:left="20" w:right="0" w:firstLine="0"/>
      </w:pPr>
      <w:r>
        <w:rPr>
          <w:lang w:val="ru-RU" w:eastAsia="ru-RU" w:bidi="ru-RU"/>
          <w:w w:val="100"/>
          <w:spacing w:val="0"/>
          <w:color w:val="000000"/>
          <w:position w:val="0"/>
        </w:rPr>
        <w:t>Председатель комиссии</w:t>
        <w:tab/>
        <w:t>А.Ф.</w:t>
        <w:tab/>
        <w:t>Абдурахманов</w:t>
      </w:r>
    </w:p>
    <w:p>
      <w:pPr>
        <w:pStyle w:val="Style17"/>
        <w:tabs>
          <w:tab w:leader="none" w:pos="9092" w:val="right"/>
          <w:tab w:leader="none" w:pos="9092" w:val="right"/>
        </w:tabs>
        <w:widowControl w:val="0"/>
        <w:keepNext w:val="0"/>
        <w:keepLines w:val="0"/>
        <w:shd w:val="clear" w:color="auto" w:fill="auto"/>
        <w:bidi w:val="0"/>
        <w:spacing w:before="0" w:after="0" w:line="643" w:lineRule="exact"/>
        <w:ind w:left="20" w:right="0" w:firstLine="0"/>
      </w:pPr>
      <w:r>
        <w:rPr>
          <w:lang w:val="ru-RU" w:eastAsia="ru-RU" w:bidi="ru-RU"/>
          <w:w w:val="100"/>
          <w:spacing w:val="0"/>
          <w:color w:val="000000"/>
          <w:position w:val="0"/>
        </w:rPr>
        <w:t>Члены комиссии</w:t>
        <w:tab/>
        <w:t>С.В.</w:t>
        <w:tab/>
        <w:t>Жохов</w:t>
      </w:r>
    </w:p>
    <w:p>
      <w:pPr>
        <w:pStyle w:val="Style17"/>
        <w:widowControl w:val="0"/>
        <w:keepNext w:val="0"/>
        <w:keepLines w:val="0"/>
        <w:shd w:val="clear" w:color="auto" w:fill="auto"/>
        <w:bidi w:val="0"/>
        <w:jc w:val="left"/>
        <w:spacing w:before="0" w:after="0" w:line="643" w:lineRule="exact"/>
        <w:ind w:left="7800" w:right="0" w:firstLine="0"/>
        <w:sectPr>
          <w:type w:val="continuous"/>
          <w:pgSz w:w="11909" w:h="16838"/>
          <w:pgMar w:top="590" w:left="861" w:right="838" w:bottom="844" w:header="0" w:footer="3" w:gutter="0"/>
          <w:rtlGutter w:val="0"/>
          <w:cols w:space="720"/>
          <w:noEndnote/>
          <w:docGrid w:linePitch="360"/>
        </w:sectPr>
      </w:pPr>
      <w:r>
        <w:rPr>
          <w:lang w:val="ru-RU" w:eastAsia="ru-RU" w:bidi="ru-RU"/>
          <w:w w:val="100"/>
          <w:spacing w:val="0"/>
          <w:color w:val="000000"/>
          <w:position w:val="0"/>
        </w:rPr>
        <w:t>К.К. Лукьяненок</w:t>
      </w:r>
    </w:p>
    <w:p>
      <w:pPr>
        <w:pStyle w:val="Style26"/>
        <w:widowControl w:val="0"/>
        <w:keepNext w:val="0"/>
        <w:keepLines w:val="0"/>
        <w:shd w:val="clear" w:color="auto" w:fill="auto"/>
        <w:bidi w:val="0"/>
        <w:jc w:val="left"/>
        <w:spacing w:before="0" w:after="0"/>
        <w:ind w:left="0" w:right="300" w:firstLine="0"/>
      </w:pPr>
      <w:r>
        <w:rPr>
          <w:lang w:val="ru-RU" w:eastAsia="ru-RU" w:bidi="ru-RU"/>
          <w:w w:val="100"/>
          <w:spacing w:val="0"/>
          <w:color w:val="000000"/>
          <w:position w:val="0"/>
        </w:rPr>
        <w:t>Исп.Лукьяненок К.К. тел.8(3822) 516-614</w:t>
      </w:r>
    </w:p>
    <w:sectPr>
      <w:footerReference w:type="default" r:id="rId8"/>
      <w:type w:val="continuous"/>
      <w:pgSz w:w="11909" w:h="16838"/>
      <w:pgMar w:top="2118" w:left="4826" w:right="4802" w:bottom="13259"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43.65pt;margin-top:804.2pt;width:50.65pt;height:7.9pt;z-index:-188744064;mso-wrap-style:none;mso-wrap-distance-left:5.pt;mso-wrap-distance-right:5.pt;mso-position-horizontal-relative:page;mso-position-vertical-relative:page" wrapcoords="0 0" filled="f" stroked="f">
          <v:textbox style="mso-fit-shape-to-text:t" inset="0,0,0,0">
            <w:txbxContent>
              <w:p>
                <w:pPr>
                  <w:pStyle w:val="Style22"/>
                  <w:widowControl w:val="0"/>
                  <w:keepNext w:val="0"/>
                  <w:keepLines w:val="0"/>
                  <w:shd w:val="clear" w:color="auto" w:fill="auto"/>
                  <w:bidi w:val="0"/>
                  <w:jc w:val="left"/>
                  <w:spacing w:before="0" w:after="0" w:line="240" w:lineRule="auto"/>
                  <w:ind w:left="0" w:right="0" w:firstLine="0"/>
                </w:pPr>
                <w:r>
                  <w:rPr>
                    <w:rStyle w:val="CharStyle24"/>
                  </w:rPr>
                  <w:t>2022-1495</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241.8pt;margin-top:727.6pt;width:50.65pt;height:7.9pt;z-index:-188744063;mso-wrap-style:none;mso-wrap-distance-left:5.pt;mso-wrap-distance-right:5.pt;mso-position-horizontal-relative:page;mso-position-vertical-relative:page" wrapcoords="0 0" filled="f" stroked="f">
          <v:textbox style="mso-fit-shape-to-text:t" inset="0,0,0,0">
            <w:txbxContent>
              <w:p>
                <w:pPr>
                  <w:pStyle w:val="Style22"/>
                  <w:widowControl w:val="0"/>
                  <w:keepNext w:val="0"/>
                  <w:keepLines w:val="0"/>
                  <w:shd w:val="clear" w:color="auto" w:fill="auto"/>
                  <w:bidi w:val="0"/>
                  <w:jc w:val="left"/>
                  <w:spacing w:before="0" w:after="0" w:line="240" w:lineRule="auto"/>
                  <w:ind w:left="0" w:right="0" w:firstLine="0"/>
                </w:pPr>
                <w:r>
                  <w:rPr>
                    <w:rStyle w:val="CharStyle24"/>
                  </w:rPr>
                  <w:t>2022-1495</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6"/>
      <w:szCs w:val="16"/>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Основной текст (5)_"/>
    <w:basedOn w:val="DefaultParagraphFont"/>
    <w:link w:val="Style12"/>
    <w:rPr>
      <w:b w:val="0"/>
      <w:bCs w:val="0"/>
      <w:i w:val="0"/>
      <w:iCs w:val="0"/>
      <w:u w:val="none"/>
      <w:strike w:val="0"/>
      <w:smallCaps w:val="0"/>
      <w:sz w:val="17"/>
      <w:szCs w:val="17"/>
      <w:rFonts w:ascii="Segoe UI" w:eastAsia="Segoe UI" w:hAnsi="Segoe UI" w:cs="Segoe UI"/>
    </w:rPr>
  </w:style>
  <w:style w:type="character" w:customStyle="1" w:styleId="CharStyle14">
    <w:name w:val="Основной текст (5)"/>
    <w:basedOn w:val="CharStyle13"/>
    <w:rPr>
      <w:lang w:val="ru-RU" w:eastAsia="ru-RU" w:bidi="ru-RU"/>
      <w:w w:val="100"/>
      <w:spacing w:val="0"/>
      <w:color w:val="000000"/>
      <w:position w:val="0"/>
    </w:rPr>
  </w:style>
  <w:style w:type="character" w:customStyle="1" w:styleId="CharStyle16">
    <w:name w:val="Основной текст (6)_"/>
    <w:basedOn w:val="DefaultParagraphFont"/>
    <w:link w:val="Style15"/>
    <w:rPr>
      <w:b w:val="0"/>
      <w:bCs w:val="0"/>
      <w:i w:val="0"/>
      <w:iCs w:val="0"/>
      <w:u w:val="none"/>
      <w:strike w:val="0"/>
      <w:smallCaps w:val="0"/>
      <w:sz w:val="22"/>
      <w:szCs w:val="22"/>
      <w:rFonts w:ascii="Times New Roman" w:eastAsia="Times New Roman" w:hAnsi="Times New Roman" w:cs="Times New Roman"/>
    </w:rPr>
  </w:style>
  <w:style w:type="character" w:customStyle="1" w:styleId="CharStyle18">
    <w:name w:val="Основной текст_"/>
    <w:basedOn w:val="DefaultParagraphFont"/>
    <w:link w:val="Style17"/>
    <w:rPr>
      <w:b w:val="0"/>
      <w:bCs w:val="0"/>
      <w:i w:val="0"/>
      <w:iCs w:val="0"/>
      <w:u w:val="none"/>
      <w:strike w:val="0"/>
      <w:smallCaps w:val="0"/>
      <w:sz w:val="26"/>
      <w:szCs w:val="26"/>
      <w:rFonts w:ascii="Times New Roman" w:eastAsia="Times New Roman" w:hAnsi="Times New Roman" w:cs="Times New Roman"/>
    </w:rPr>
  </w:style>
  <w:style w:type="character" w:customStyle="1" w:styleId="CharStyle20">
    <w:name w:val="Заголовок №1_"/>
    <w:basedOn w:val="DefaultParagraphFont"/>
    <w:link w:val="Style19"/>
    <w:rPr>
      <w:lang w:val="en-US" w:eastAsia="en-US" w:bidi="en-US"/>
      <w:b w:val="0"/>
      <w:bCs w:val="0"/>
      <w:i w:val="0"/>
      <w:iCs w:val="0"/>
      <w:u w:val="none"/>
      <w:strike w:val="0"/>
      <w:smallCaps w:val="0"/>
      <w:sz w:val="56"/>
      <w:szCs w:val="56"/>
      <w:rFonts w:ascii="Times New Roman" w:eastAsia="Times New Roman" w:hAnsi="Times New Roman" w:cs="Times New Roman"/>
      <w:w w:val="33"/>
      <w:spacing w:val="20"/>
    </w:rPr>
  </w:style>
  <w:style w:type="character" w:customStyle="1" w:styleId="CharStyle21">
    <w:name w:val="Основной текст"/>
    <w:basedOn w:val="CharStyle18"/>
    <w:rPr>
      <w:lang w:val="ru-RU" w:eastAsia="ru-RU" w:bidi="ru-RU"/>
      <w:u w:val="single"/>
      <w:w w:val="100"/>
      <w:spacing w:val="0"/>
      <w:color w:val="000000"/>
      <w:position w:val="0"/>
    </w:rPr>
  </w:style>
  <w:style w:type="character" w:customStyle="1" w:styleId="CharStyle23">
    <w:name w:val="Колонтитул_"/>
    <w:basedOn w:val="DefaultParagraphFont"/>
    <w:link w:val="Style22"/>
    <w:rPr>
      <w:b w:val="0"/>
      <w:bCs w:val="0"/>
      <w:i w:val="0"/>
      <w:iCs w:val="0"/>
      <w:u w:val="none"/>
      <w:strike w:val="0"/>
      <w:smallCaps w:val="0"/>
      <w:sz w:val="22"/>
      <w:szCs w:val="22"/>
      <w:rFonts w:ascii="Times New Roman" w:eastAsia="Times New Roman" w:hAnsi="Times New Roman" w:cs="Times New Roman"/>
    </w:rPr>
  </w:style>
  <w:style w:type="character" w:customStyle="1" w:styleId="CharStyle24">
    <w:name w:val="Колонтитул"/>
    <w:basedOn w:val="CharStyle23"/>
    <w:rPr>
      <w:lang w:val="ru-RU" w:eastAsia="ru-RU" w:bidi="ru-RU"/>
      <w:w w:val="100"/>
      <w:spacing w:val="0"/>
      <w:color w:val="000000"/>
      <w:position w:val="0"/>
    </w:rPr>
  </w:style>
  <w:style w:type="character" w:customStyle="1" w:styleId="CharStyle25">
    <w:name w:val="Основной текст + Интервал 3 pt"/>
    <w:basedOn w:val="CharStyle18"/>
    <w:rPr>
      <w:lang w:val="ru-RU" w:eastAsia="ru-RU" w:bidi="ru-RU"/>
      <w:w w:val="100"/>
      <w:spacing w:val="60"/>
      <w:color w:val="000000"/>
      <w:position w:val="0"/>
    </w:rPr>
  </w:style>
  <w:style w:type="character" w:customStyle="1" w:styleId="CharStyle27">
    <w:name w:val="Основной текст (7)_"/>
    <w:basedOn w:val="DefaultParagraphFont"/>
    <w:link w:val="Style26"/>
    <w:rPr>
      <w:b w:val="0"/>
      <w:bCs w:val="0"/>
      <w:i w:val="0"/>
      <w:iCs w:val="0"/>
      <w:u w:val="none"/>
      <w:strike w:val="0"/>
      <w:smallCaps w:val="0"/>
      <w:sz w:val="21"/>
      <w:szCs w:val="21"/>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20" w:line="235" w:lineRule="exact"/>
    </w:pPr>
    <w:rPr>
      <w:b/>
      <w:bCs/>
      <w:i w:val="0"/>
      <w:iCs w:val="0"/>
      <w:u w:val="none"/>
      <w:strike w:val="0"/>
      <w:smallCaps w:val="0"/>
      <w:sz w:val="16"/>
      <w:szCs w:val="16"/>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26" w:lineRule="exact"/>
    </w:pPr>
    <w:rPr>
      <w:b/>
      <w:bCs/>
      <w:i w:val="0"/>
      <w:iCs w:val="0"/>
      <w:u w:val="none"/>
      <w:strike w:val="0"/>
      <w:smallCaps w:val="0"/>
      <w:sz w:val="18"/>
      <w:szCs w:val="18"/>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240" w:line="211"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center"/>
      <w:spacing w:before="240" w:after="240" w:line="0" w:lineRule="exact"/>
    </w:pPr>
    <w:rPr>
      <w:b w:val="0"/>
      <w:bCs w:val="0"/>
      <w:i w:val="0"/>
      <w:iCs w:val="0"/>
      <w:u w:val="none"/>
      <w:strike w:val="0"/>
      <w:smallCaps w:val="0"/>
      <w:sz w:val="17"/>
      <w:szCs w:val="17"/>
      <w:rFonts w:ascii="Segoe UI" w:eastAsia="Segoe UI" w:hAnsi="Segoe UI" w:cs="Segoe UI"/>
    </w:rPr>
  </w:style>
  <w:style w:type="paragraph" w:customStyle="1" w:styleId="Style15">
    <w:name w:val="Основной текст (6)"/>
    <w:basedOn w:val="Normal"/>
    <w:link w:val="CharStyle16"/>
    <w:pPr>
      <w:widowControl w:val="0"/>
      <w:shd w:val="clear" w:color="auto" w:fill="FFFFFF"/>
      <w:jc w:val="both"/>
      <w:spacing w:before="66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7">
    <w:name w:val="Основной текст"/>
    <w:basedOn w:val="Normal"/>
    <w:link w:val="CharStyle18"/>
    <w:pPr>
      <w:widowControl w:val="0"/>
      <w:shd w:val="clear" w:color="auto" w:fill="FFFFFF"/>
      <w:jc w:val="both"/>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9">
    <w:name w:val="Заголовок №1"/>
    <w:basedOn w:val="Normal"/>
    <w:link w:val="CharStyle20"/>
    <w:pPr>
      <w:widowControl w:val="0"/>
      <w:shd w:val="clear" w:color="auto" w:fill="FFFFFF"/>
      <w:outlineLvl w:val="0"/>
      <w:spacing w:before="420" w:after="180" w:line="0" w:lineRule="exact"/>
    </w:pPr>
    <w:rPr>
      <w:lang w:val="en-US" w:eastAsia="en-US" w:bidi="en-US"/>
      <w:b w:val="0"/>
      <w:bCs w:val="0"/>
      <w:i w:val="0"/>
      <w:iCs w:val="0"/>
      <w:u w:val="none"/>
      <w:strike w:val="0"/>
      <w:smallCaps w:val="0"/>
      <w:sz w:val="56"/>
      <w:szCs w:val="56"/>
      <w:rFonts w:ascii="Times New Roman" w:eastAsia="Times New Roman" w:hAnsi="Times New Roman" w:cs="Times New Roman"/>
      <w:w w:val="33"/>
      <w:spacing w:val="20"/>
    </w:rPr>
  </w:style>
  <w:style w:type="paragraph" w:customStyle="1" w:styleId="Style22">
    <w:name w:val="Колонтитул"/>
    <w:basedOn w:val="Normal"/>
    <w:link w:val="CharStyle23"/>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6">
    <w:name w:val="Основной текст (7)"/>
    <w:basedOn w:val="Normal"/>
    <w:link w:val="CharStyle27"/>
    <w:pPr>
      <w:widowControl w:val="0"/>
      <w:shd w:val="clear" w:color="auto" w:fill="FFFFFF"/>
      <w:spacing w:line="254"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

<file path=docProps/core.xml><?xml version="1.0" encoding="utf-8"?>
<cp:coreProperties xmlns:cp="http://schemas.openxmlformats.org/package/2006/metadata/core-properties" xmlns:dc="http://purl.org/dc/elements/1.1/">
  <dc:title>Постановление Правительства РФ от 30.07.1999 N 862(ред. от 01.09.2022)"Об использовании государственной и экспериментальной авиации в коммерческих целях"</dc:title>
  <dc:subject/>
  <dc:creator/>
  <cp:keywords/>
</cp:coreProperties>
</file>