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86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jc w:val="left"/>
        <w:spacing w:before="0" w:after="0"/>
        <w:ind w:left="1160" w:right="0" w:firstLine="0"/>
      </w:pPr>
      <w:r>
        <w:rPr>
          <w:lang w:val="ru-RU" w:eastAsia="ru-RU" w:bidi="ru-RU"/>
          <w:w w:val="100"/>
          <w:spacing w:val="0"/>
          <w:color w:val="000000"/>
          <w:position w:val="0"/>
        </w:rPr>
        <w:t>ГКУ «ДЗ ЖКХИБ ЮЗАО»</w:t>
      </w:r>
    </w:p>
    <w:p>
      <w:pPr>
        <w:pStyle w:val="Style5"/>
        <w:widowControl w:val="0"/>
        <w:keepNext w:val="0"/>
        <w:keepLines w:val="0"/>
        <w:shd w:val="clear" w:color="auto" w:fill="auto"/>
        <w:bidi w:val="0"/>
        <w:jc w:val="left"/>
        <w:spacing w:before="0" w:after="0"/>
        <w:ind w:left="1160" w:right="0" w:firstLine="0"/>
      </w:pPr>
      <w:r>
        <w:rPr>
          <w:lang w:val="ru-RU" w:eastAsia="ru-RU" w:bidi="ru-RU"/>
          <w:w w:val="100"/>
          <w:spacing w:val="0"/>
          <w:color w:val="000000"/>
          <w:position w:val="0"/>
        </w:rPr>
        <w:t>ул. Гарибальди, д.14, г. Москва, 117393</w:t>
      </w:r>
    </w:p>
    <w:p>
      <w:pPr>
        <w:pStyle w:val="Style5"/>
        <w:widowControl w:val="0"/>
        <w:keepNext w:val="0"/>
        <w:keepLines w:val="0"/>
        <w:shd w:val="clear" w:color="auto" w:fill="auto"/>
        <w:bidi w:val="0"/>
        <w:jc w:val="left"/>
        <w:spacing w:before="0" w:after="0"/>
        <w:ind w:left="1160" w:right="0" w:firstLine="0"/>
      </w:pPr>
      <w:r>
        <w:rPr>
          <w:lang w:val="ru-RU" w:eastAsia="ru-RU" w:bidi="ru-RU"/>
          <w:w w:val="100"/>
          <w:spacing w:val="0"/>
          <w:color w:val="000000"/>
          <w:position w:val="0"/>
        </w:rPr>
        <w:t>Префектура ЮЗАО г. Москвы</w:t>
      </w:r>
    </w:p>
    <w:p>
      <w:pPr>
        <w:pStyle w:val="Style5"/>
        <w:widowControl w:val="0"/>
        <w:keepNext w:val="0"/>
        <w:keepLines w:val="0"/>
        <w:shd w:val="clear" w:color="auto" w:fill="auto"/>
        <w:bidi w:val="0"/>
        <w:jc w:val="both"/>
        <w:spacing w:before="0" w:after="289" w:line="322" w:lineRule="exact"/>
        <w:ind w:left="1160" w:right="20" w:firstLine="0"/>
      </w:pPr>
      <w:r>
        <w:rPr>
          <w:lang w:val="ru-RU" w:eastAsia="ru-RU" w:bidi="ru-RU"/>
          <w:w w:val="100"/>
          <w:spacing w:val="0"/>
          <w:color w:val="000000"/>
          <w:position w:val="0"/>
        </w:rPr>
        <w:t>Севастопольский пр-т., д.28, корп.4, Москва, 117209</w:t>
      </w:r>
    </w:p>
    <w:p>
      <w:pPr>
        <w:pStyle w:val="Style5"/>
        <w:widowControl w:val="0"/>
        <w:keepNext w:val="0"/>
        <w:keepLines w:val="0"/>
        <w:shd w:val="clear" w:color="auto" w:fill="auto"/>
        <w:bidi w:val="0"/>
        <w:jc w:val="left"/>
        <w:spacing w:before="0" w:after="303" w:line="260" w:lineRule="exact"/>
        <w:ind w:left="1160" w:right="0" w:firstLine="0"/>
      </w:pPr>
      <w:r>
        <w:rPr>
          <w:lang w:val="ru-RU" w:eastAsia="ru-RU" w:bidi="ru-RU"/>
          <w:w w:val="100"/>
          <w:spacing w:val="0"/>
          <w:color w:val="000000"/>
          <w:position w:val="0"/>
        </w:rPr>
        <w:t>ИП Судников С.С.</w:t>
      </w:r>
    </w:p>
    <w:p>
      <w:pPr>
        <w:pStyle w:val="Style5"/>
        <w:widowControl w:val="0"/>
        <w:keepNext w:val="0"/>
        <w:keepLines w:val="0"/>
        <w:shd w:val="clear" w:color="auto" w:fill="auto"/>
        <w:bidi w:val="0"/>
        <w:jc w:val="left"/>
        <w:spacing w:before="0" w:after="289" w:line="322" w:lineRule="exact"/>
        <w:ind w:left="1160" w:right="20" w:firstLine="0"/>
      </w:pPr>
      <w:r>
        <w:rPr>
          <w:lang w:val="ru-RU" w:eastAsia="ru-RU" w:bidi="ru-RU"/>
          <w:w w:val="100"/>
          <w:spacing w:val="0"/>
          <w:color w:val="000000"/>
          <w:position w:val="0"/>
        </w:rPr>
        <w:t>ул. Юбилейная, д. 8, кв. 2, п. Бородинское поле, Можайский р-н, Московская обл.,143240</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40" w:line="322" w:lineRule="exact"/>
        <w:ind w:left="5340" w:right="880" w:firstLine="0"/>
      </w:pPr>
      <w:r>
        <w:rPr>
          <w:lang w:val="ru-RU" w:eastAsia="ru-RU" w:bidi="ru-RU"/>
          <w:w w:val="100"/>
          <w:spacing w:val="0"/>
          <w:color w:val="000000"/>
          <w:position w:val="0"/>
        </w:rPr>
        <w:t>ул. Кожевническая, д. 14, стр. 5, г. Москва, 115114,</w:t>
      </w:r>
    </w:p>
    <w:p>
      <w:pPr>
        <w:pStyle w:val="Style10"/>
        <w:tabs>
          <w:tab w:leader="none" w:pos="8978" w:val="lef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 077/06/106-17644/2022 о нарушении Законодательства о контрактной системе 28.11.2022</w:t>
        <w:tab/>
        <w:t>г. 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tabs>
          <w:tab w:leader="none" w:pos="4042"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Председательствующего:</w:t>
        <w:tab/>
        <w:t>заместителя начальника отдела обжалования</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государственных закупок Д.С. Грешневой,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 1-го разряда отдела обжалования государственных закупок Е.Д. Мартьяновой,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участии представителей: ИП Судников С.С.: Воробьева З.В. (дов.№ 1 от 24.10.2022) , ГКУ «ДЗ ЖКХИБ ЮЗАО»: Абрамова Р.О (дов.№ б/н от 24.11.2022), Насибяна М.М. (дов.№8-22 от 10.01.2022),</w:t>
      </w:r>
    </w:p>
    <w:p>
      <w:pPr>
        <w:pStyle w:val="Style3"/>
        <w:framePr w:w="1685" w:h="394" w:wrap="around" w:vAnchor="text" w:hAnchor="margin" w:x="385" w:y="4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000992588679</w:t>
      </w:r>
    </w:p>
    <w:p>
      <w:pPr>
        <w:pStyle w:val="Style5"/>
        <w:widowControl w:val="0"/>
        <w:keepNext w:val="0"/>
        <w:keepLines w:val="0"/>
        <w:shd w:val="clear" w:color="auto" w:fill="auto"/>
        <w:bidi w:val="0"/>
        <w:jc w:val="both"/>
        <w:spacing w:before="0" w:after="116" w:line="322" w:lineRule="exact"/>
        <w:ind w:left="40" w:right="0" w:firstLine="680"/>
      </w:pPr>
      <w:r>
        <w:rPr>
          <w:lang w:val="ru-RU" w:eastAsia="ru-RU" w:bidi="ru-RU"/>
          <w:w w:val="100"/>
          <w:spacing w:val="0"/>
          <w:color w:val="000000"/>
          <w:position w:val="0"/>
        </w:rPr>
        <w:t>в отсутствие представителей Префектуры ЮЗАО г. Москвы, о времени и</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0" w:line="317" w:lineRule="exact"/>
        <w:ind w:left="20" w:right="40" w:firstLine="0"/>
      </w:pPr>
      <w:r>
        <w:rPr>
          <w:lang w:val="ru-RU" w:eastAsia="ru-RU" w:bidi="ru-RU"/>
          <w:w w:val="100"/>
          <w:spacing w:val="0"/>
          <w:color w:val="000000"/>
          <w:position w:val="0"/>
        </w:rPr>
        <w:t>порядке заседания Комиссии Управления уведомленных надлежащим образом письмом Московского УФАС России №ЕИ/59497/22 от 23.11.2022,</w:t>
      </w:r>
    </w:p>
    <w:p>
      <w:pPr>
        <w:pStyle w:val="Style5"/>
        <w:widowControl w:val="0"/>
        <w:keepNext w:val="0"/>
        <w:keepLines w:val="0"/>
        <w:shd w:val="clear" w:color="auto" w:fill="auto"/>
        <w:bidi w:val="0"/>
        <w:jc w:val="both"/>
        <w:spacing w:before="0" w:after="646" w:line="317" w:lineRule="exact"/>
        <w:ind w:left="20" w:right="40" w:firstLine="680"/>
      </w:pPr>
      <w:r>
        <w:rPr>
          <w:lang w:val="ru-RU" w:eastAsia="ru-RU" w:bidi="ru-RU"/>
          <w:w w:val="100"/>
          <w:spacing w:val="0"/>
          <w:color w:val="000000"/>
          <w:position w:val="0"/>
        </w:rPr>
        <w:t>рассмотрев жалобу ИП Судников С.С. (далее — Заявитель) на действия Префектуры ЮЗАО г. Москвы при проведении электронного аукциона на право заключения государственного контракта на оказание услуг по комплексному обслуживанию здания префектуры ЮЗАО города Москвы в 2023 году. (Закупка №0373200032222001388) (далее — аукцион), в соответствии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widowControl w:val="0"/>
        <w:keepNext/>
        <w:keepLines/>
        <w:shd w:val="clear" w:color="auto" w:fill="auto"/>
        <w:bidi w:val="0"/>
        <w:jc w:val="left"/>
        <w:spacing w:before="0" w:after="303"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№ЕИ/59497/22 от 23.11.2022.</w:t>
      </w:r>
    </w:p>
    <w:p>
      <w:pPr>
        <w:pStyle w:val="Style5"/>
        <w:numPr>
          <w:ilvl w:val="0"/>
          <w:numId w:val="1"/>
        </w:numPr>
        <w:tabs>
          <w:tab w:leader="none" w:pos="1244" w:val="left"/>
        </w:tabs>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составе жалобы Заявитель указывает на то, что объем необходимых к оказанию услуг в описании объекта закупки и смете указан Заказчиком противоречивым образом. Так, в описании объекта закупки Заказчиком установлено «Кровля: Главный корпус, второй корпус, переходы — 2»: «осмотр очистка от листвы очистка от снега при толщине слоя до 20 см»: «2 704,00 м.кв», в то время как в смете указано «Очистка снега с крыш при толщине слоя до 10 см, 100 м2»: «2,7».</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Согласно п.7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объеме (за исключением случая, предусмотренного частью 24 статьи 22 Закона о контрактной системе), о единице измерения (при наличии) и месте выполнения работы или оказания услуги.</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В силу п.1, п.2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электронные документы с описанием объекта закупки в соответствии со статьей 33 Закона о контрактной системе, обоснованием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системы описание объекта закупки в соответствии с требованиями, указанными в ч.1 ст.33 Закона о контрактной системы,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приложении 3 к Техническому заданию «Перечень конструктивных элементов зданий, подлежащих техническому обслуживанию» Заказчиком определены объемы необходимых работ, в том числе по п.1 «Кровля: Главный корпус, второй корпус, переходы — 2»: «осмотр очистка от листвы очистка от снега при толщине слоя до 20 см»: «2 704,00 м.кв».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Комиссией Управления также установлено, что в п.3 локально сметного расчета определен следующий объем услуг: «Очистка снега с крыш при толщине слоя до 10 см, 100 м2»: «2,7».</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при формировании извещения Заказчиком корректным образом указаны необходимые объемы работ, так общая площадь кровли составляет 2 704,00 квадратных метров, при этом потребность Заказчика в очистке кровли от снега составляет 10% от общей площади кровли ( 270 квадратных метров), что следует из указанных положений сметного расчета.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вышеуказанное представителем Заказчика не следует из положений описания объекта закупки, так как объем услуг по очистки снега с крыш при толщине слоя 20 см обозначен как «2 704,00 м.кв», без дополнительных указаний и пояснений, что очевидно не соотносится с пояснениями представителя Заказчика и локально сметным расчетом.</w:t>
      </w:r>
    </w:p>
    <w:p>
      <w:pPr>
        <w:pStyle w:val="Style5"/>
        <w:tabs>
          <w:tab w:leader="none" w:pos="4196"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w:t>
      </w:r>
      <w:r>
        <w:rPr>
          <w:rStyle w:val="CharStyle14"/>
        </w:rPr>
        <w:t>ыш</w:t>
      </w:r>
      <w:r>
        <w:rPr>
          <w:lang w:val="ru-RU" w:eastAsia="ru-RU" w:bidi="ru-RU"/>
          <w:w w:val="100"/>
          <w:spacing w:val="0"/>
          <w:color w:val="000000"/>
          <w:position w:val="0"/>
        </w:rPr>
        <w:t>еизложенного Комиссия Управления приходит к выводу о нарушении Заказчиком п.1 ч.1 ст.33 Закона о контрактной системе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w:t>
        <w:tab/>
        <w:t>ст.7.30 Кодекса Российской Федерации об</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административных правонарушениях.</w:t>
      </w:r>
    </w:p>
    <w:p>
      <w:pPr>
        <w:pStyle w:val="Style5"/>
        <w:numPr>
          <w:ilvl w:val="0"/>
          <w:numId w:val="1"/>
        </w:numPr>
        <w:tabs>
          <w:tab w:leader="none" w:pos="101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что Заказчиком неправомерно не указаны формы финансовых документов, посредством которых будет осуществляться оплата услуг, а также не указан порядок оплаты таких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п.1 ч.13 ст.34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ч.13 ст.37 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Закона о контрактной системе требования обеспечения гарантийных обязательств. В случае, предусмотренном ч.24 ст.22 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в проекте государственного контракта, размещенном в составе извещения определены в том числе следующие положения:</w:t>
      </w:r>
    </w:p>
    <w:p>
      <w:pPr>
        <w:pStyle w:val="Style5"/>
        <w:numPr>
          <w:ilvl w:val="0"/>
          <w:numId w:val="3"/>
        </w:numPr>
        <w:tabs>
          <w:tab w:leader="none" w:pos="1395"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«2.7.2 Заказчик ежемесячно оплачивает услуги по факту оказанных услуг, в безналичном порядке путем перечисления стоимости оказанных услуг со своего лицевого счета, открытого в Департаменте финансов города Москвы, на расчетный счет Исполнителя, реквизиты которого указаны в статье «Адреса, реквизиты и подписи Сторон» Контракта, на основании надлежаще оформленного и подписанного обеими Сторонами усиленными квалифицированными электронными подписями (далее - УКЭП) сформированного с использованием Автоматизированной информационной системы «Портал поставщиков» (далее - АИС «Портал поставщиков») Документа о приемке (Приложение № 2 к настоящему Контракту) в электронной форме, в течение 7 (семи) рабочих дней с даты подписания Заказчиком Документа о приемке»;</w:t>
      </w:r>
    </w:p>
    <w:p>
      <w:pPr>
        <w:pStyle w:val="Style5"/>
        <w:numPr>
          <w:ilvl w:val="0"/>
          <w:numId w:val="3"/>
        </w:numPr>
        <w:tabs>
          <w:tab w:leader="none" w:pos="1395" w:val="left"/>
        </w:tabs>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«2.7.2.1 Оплата по Контракту осуществляется на основании электронного</w:t>
      </w:r>
    </w:p>
    <w:p>
      <w:pPr>
        <w:pStyle w:val="Style5"/>
        <w:tabs>
          <w:tab w:leader="none" w:pos="10176"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структурированного Документа о приемке, в котором указывается:</w:t>
        <w:tab/>
        <w:t>сумма,</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pPr>
        <w:pStyle w:val="Style5"/>
        <w:numPr>
          <w:ilvl w:val="0"/>
          <w:numId w:val="3"/>
        </w:numPr>
        <w:tabs>
          <w:tab w:leader="none" w:pos="1395"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«4.1 После завершения оказания услуг Исполнитель, не позднее 5 (пяти) рабочих дней, уведомляет Заказчика о факте завершения оказания услуг и представляет Заказчику комплект отчетной документации, предусмотренной Контрактом и приложениями к нему, Документ о приемке, подписанный Исполнителем»;</w:t>
      </w:r>
    </w:p>
    <w:p>
      <w:pPr>
        <w:pStyle w:val="Style5"/>
        <w:numPr>
          <w:ilvl w:val="0"/>
          <w:numId w:val="3"/>
        </w:numPr>
        <w:tabs>
          <w:tab w:leader="none" w:pos="1395"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«4.6 Подписанный Заказчиком и Исполнителем УКЭП электронный структурированный Документ о приемке является основанием для оплаты Исполнителю оказанных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ч.13. ст.94 Закона о контрактной системе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п.5 ч.11 ст.24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поставщик (подрядчик, исполнитель) в срок, установленный в контракте в соответствии с пп.«а» п.1 ч.2 ст.51 Закона о контрактной системе,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включенные в контракт в соответствии с пп.1 ч.2 ст.51 Закона о контрактной системе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пп.«а», «г» и «е» ч.1 ст.43 Закона о контрактной системе,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наименование поставленного товара, выполненной работы, оказанной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д) информацию об объеме выполненной работы, оказанной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ж) иную информацию с учетом требований, установленных в соответствии с ч.3 ст.5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 документу о приемке, предусмотренному п.1 ч.13 ст.94 Закона о контрактной системе,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п.1 ч.13 ст.94 Закона о контрактной системе информация, содержащаяся в документе о приемке;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п.1 ч.13 ст.94 Закона о контрактной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срок, установленный контрактом, но не позднее двадцати рабочих дней, следующих за днем поступления документа о приемке в соответствии с п.3 ч.13 ст.94 Закона о контрактной системе, заказчик (за исключением случая создания приемочной комиссии в соответствии с ч.6 ст.94 Закона о контрактной системе) осуществляет одно из следующих действий: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случае создания в соответствии с ч.6 ст.94 Закона о контрактной системе приемочной комиссии не позднее двадцати рабочих дней, следующих за днем поступления заказчику документа о приемке в соответствии с п.3 ч.13 ст.94 Закона о контрактной системе:</w:t>
      </w:r>
    </w:p>
    <w:p>
      <w:pPr>
        <w:pStyle w:val="Style5"/>
        <w:tabs>
          <w:tab w:leader="none" w:pos="1110"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w:t>
        <w:tab/>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pStyle w:val="Style5"/>
        <w:numPr>
          <w:ilvl w:val="0"/>
          <w:numId w:val="5"/>
        </w:numPr>
        <w:widowControl w:val="0"/>
        <w:keepNext w:val="0"/>
        <w:keepLines w:val="0"/>
        <w:shd w:val="clear" w:color="auto" w:fill="auto"/>
        <w:bidi w:val="0"/>
        <w:jc w:val="both"/>
        <w:spacing w:before="0" w:after="0" w:line="322" w:lineRule="exact"/>
        <w:ind w:left="20" w:right="20" w:firstLine="680"/>
        <w:sectPr>
          <w:headerReference w:type="default" r:id="rId9"/>
          <w:footerReference w:type="default" r:id="rId10"/>
          <w:footerReference w:type="first" r:id="rId11"/>
          <w:titlePg/>
          <w:footnotePr>
            <w:pos w:val="pageBottom"/>
            <w:numFmt w:val="decimal"/>
            <w:numRestart w:val="continuous"/>
          </w:footnotePr>
          <w:type w:val="continuous"/>
          <w:pgSz w:w="11909" w:h="16838"/>
          <w:pgMar w:top="1259" w:left="845" w:right="821" w:bottom="736" w:header="0" w:footer="3" w:gutter="0"/>
          <w:rtlGutter w:val="0"/>
          <w:cols w:space="720"/>
          <w:noEndnote/>
          <w:docGrid w:linePitch="360"/>
        </w:sectPr>
      </w:pPr>
      <w:r>
        <w:rPr>
          <w:lang w:val="ru-RU" w:eastAsia="ru-RU" w:bidi="ru-RU"/>
          <w:w w:val="100"/>
          <w:spacing w:val="0"/>
          <w:color w:val="000000"/>
          <w:position w:val="0"/>
        </w:rPr>
        <w:t xml:space="preserve"> после подписания членами приемочной комиссии в соответствии с пп.«а» п.5 ч.13 ст.94 Закона о контрактной системе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пп.«а» п.5 ч.13 ст.94 Закона о контрактной системе не использовали усиленные электронные подписи и единую информационную систему, заказчик </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прилагает подписанные ими документы в форме электронных образов бумажных документов;</w:t>
      </w:r>
    </w:p>
    <w:p>
      <w:pPr>
        <w:pStyle w:val="Style5"/>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пп.«а» и «б» п.4 или пп.«б» п.5 ч.13 ст.94 Закона о контрактной системе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pPr>
        <w:pStyle w:val="Style5"/>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случае получения в соответствии с пунктом 6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pPr>
        <w:pStyle w:val="Style5"/>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Исходя из вышеизложенных положений контракта, а также положений Закона о контрактной системе, Комиссия Управления приходит к выводу, что Заказчиком однозначным образом определен порядок и способ оплаты услуг, предусмотренных контрактом, на заключение которого проводится обжалуемая процедура.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5"/>
        <w:numPr>
          <w:ilvl w:val="0"/>
          <w:numId w:val="1"/>
        </w:numPr>
        <w:tabs>
          <w:tab w:leader="none" w:pos="101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жалобе Заявитель указывает, что Заказчиком неправомерно выбран способ определения поставщика (подрядчика, исполнителя) путем проведения электронного аукциона, а также осуществлен выбор неверного кода ОКПД2.</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ч.2 ст.24 Закона о контрактной системе конкурентными способами являются:</w:t>
      </w:r>
    </w:p>
    <w:p>
      <w:pPr>
        <w:pStyle w:val="Style5"/>
        <w:numPr>
          <w:ilvl w:val="0"/>
          <w:numId w:val="9"/>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5"/>
        <w:numPr>
          <w:ilvl w:val="0"/>
          <w:numId w:val="9"/>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5"/>
        <w:numPr>
          <w:ilvl w:val="0"/>
          <w:numId w:val="9"/>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запрос котировок в электронной форме (далее - электронный запрос котировок).</w:t>
      </w:r>
    </w:p>
    <w:p>
      <w:pPr>
        <w:pStyle w:val="Style5"/>
        <w:widowControl w:val="0"/>
        <w:keepNext w:val="0"/>
        <w:keepLines w:val="0"/>
        <w:shd w:val="clear" w:color="auto" w:fill="auto"/>
        <w:bidi w:val="0"/>
        <w:jc w:val="both"/>
        <w:spacing w:before="0" w:after="0" w:line="427" w:lineRule="exact"/>
        <w:ind w:left="20" w:right="20" w:firstLine="680"/>
        <w:sectPr>
          <w:headerReference w:type="default" r:id="rId12"/>
          <w:footerReference w:type="default" r:id="rId13"/>
          <w:headerReference w:type="first" r:id="rId14"/>
          <w:footerReference w:type="first" r:id="rId15"/>
          <w:titlePg/>
          <w:footnotePr>
            <w:pos w:val="pageBottom"/>
            <w:numFmt w:val="decimal"/>
            <w:numRestart w:val="continuous"/>
          </w:footnotePr>
          <w:pgSz w:w="11909" w:h="16838"/>
          <w:pgMar w:top="1259" w:left="845" w:right="821" w:bottom="736" w:header="0" w:footer="3" w:gutter="0"/>
          <w:rtlGutter w:val="0"/>
          <w:cols w:space="720"/>
          <w:noEndnote/>
          <w:docGrid w:linePitch="360"/>
        </w:sectPr>
      </w:pPr>
      <w:r>
        <w:rPr>
          <w:lang w:val="ru-RU" w:eastAsia="ru-RU" w:bidi="ru-RU"/>
          <w:w w:val="100"/>
          <w:spacing w:val="0"/>
          <w:color w:val="000000"/>
          <w:position w:val="0"/>
        </w:rPr>
        <w:t xml:space="preserve">Ч.6 ст.24 Закона о контрактной системе установлено, что заказчик, за </w:t>
      </w:r>
      <w:r>
        <w:rPr>
          <w:rStyle w:val="CharStyle15"/>
        </w:rPr>
        <w:t>2022-66604</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Перечень).</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Буквальное толкование приведенных норм права позволяет сделать вывод о том, что при выборе способа определения поставщика (подрядчика, исполнителя) 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5"/>
        <w:tabs>
          <w:tab w:leader="none" w:pos="2706"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Согласно ч.7</w:t>
        <w:tab/>
        <w:t>ст.24 Закона о контрактной системе Заказчик вправе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осуществлять закупки товаров, работ, услуг, не включенных в перечни, предусмотренные ч.6 ст.24 Закона о контрактной системе, путем проведения аукционов.</w:t>
      </w:r>
    </w:p>
    <w:p>
      <w:pPr>
        <w:pStyle w:val="Style5"/>
        <w:tabs>
          <w:tab w:leader="none" w:pos="549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15.11.2022</w:t>
        <w:tab/>
        <w:t>№0373200032222001388, Заказчиком</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закупаются следующие услуги: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«Техническое обслуживание и текущий ремонт комплекса инженерных коммуникаций», при этом указано на соответствие данных услуг ОКПД2 41.20.20.290 «Здания нежилые, не включенные в другие группировки»;</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«Услуги по уборке», при этом указано на соответствие данных услуг позиции Каталога товаров, работ, услуг для обеспечения государственных и муниципальных нужд 81.21.10.000-00000007 «Услуги по уборке», которая соответствует группе кодов ОКПД2 81.22 «Услуги по чистке и уборке зданий и промышленной уборке прочие»;</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«Техническое обслуживание и текущий ремонт конструктивных элементов здания», при этом указано на соответствие данных услуг ОКПД2 43.99.90.190 «Работы строительные специализированные прочие, не включенные в другие группировки»;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выбранные Заказчиком коды ОКПД2 не входят в вышеуказанный Перечень (за исключением услуг по уборке), ввиду чего Заказчик не обязан проводить определение поставщика посредством электронного аукциона, однако, в силу ч.7 ст.24 Закона о контрактной системе, Заказчик вправе осуществить закупку работ, услуг, не включенных в Перечень, путем проведения аукциона.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Доказательств обратного Заявителем не представлено, равно как не указано, какой именно код ОКПД2 по мнению Заявителя должен был быть использован Заказчиком.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5"/>
        <w:numPr>
          <w:ilvl w:val="0"/>
          <w:numId w:val="1"/>
        </w:numPr>
        <w:tabs>
          <w:tab w:leader="none" w:pos="1206"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что Заказчиком неправомерно объеденные в один лот функционально и технологически не связанные между собой услуги, такие как услуги по уборке задний сооружений и услуги по техническому обслуживанию заданий сооружений.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Заказчиком закупается комплекс услуг по обслуживанию заданий и сооружений, ввиду чего включение в один лот вышеуказанных услуг не противоречит положениям Закона о контрактной системе, кроме того представитель Заказчика отметил, что услуги по техническому обслуживанию (Код и наименование позиции Классификатора предметов государственного заказа (далее - КПГЗ) - 03.07 услуги/обслуживание техническое, содержание и текущий ремонт) не включены в Перечень кодов КПГЗ, подлежащие дроблению, установленный Приказом Департамента города Москвы по конкурентной политике от 18.08.2020 № 70-01</w:t>
        <w:softHyphen/>
        <w:t>119/20 «Об утверждении формы решения заказчика об осуществлении закупки товаров, работ, услуг и перечня направлений закупок, обоснованное дробление потребностей по которым является допустимым, признании утратившим силу приказа Департамента города Москвы по конкурентной политике от 19 декабря 2019 г. № 70-01-287/19».</w:t>
      </w:r>
    </w:p>
    <w:p>
      <w:pPr>
        <w:pStyle w:val="Style5"/>
        <w:tabs>
          <w:tab w:leader="none" w:pos="7690" w:val="left"/>
          <w:tab w:leader="none" w:pos="10196"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этим Комиссией Управления, что в описании объекта закупки Заказчиком установлено в том числе следующее: «Код и наименование позиции Классификатора предметов государственного заказа:</w:t>
        <w:tab/>
        <w:t>03.07.01.01.03.03</w:t>
        <w:tab/>
        <w:t>-</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услуги/обслуживание техническое, содержание и текущий ремонт/обслуживание техническое, содержание и текущий ремонт объектов капитального строительства и территорий/обслуживание техническое и текущий ремонт зданий/обслуживание техническое и текущий ремонт инженерных коммуникаций в зданиях и сооружениях/обслуживание техническое и текущий ремонт комплекса инженерных коммуникаций в зданиях», а также указаны коды по общероссийскому классификатору продукции по видам экономической деятельности 43.99.90.190 «Работы строительные специализированные прочие, не включенные в другие группировки», 41.20.20.290 «Здания нежилые, не включенные в другие группировки».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Кроме того, в составе опубликованного извещения указан номер позиции каталога товаров, работ, услуг для обеспечения государственных и муниципальных нужд 81.21.10.000-00000007 «Услуги по уборке».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этом в извещения об осуществлении закупки описание объекта закупки не содержит указания на какую-либо функциональную или техническую связь данных видов работ.</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Кроме того, Комиссия Управления отмечает, что услугам по комплексному обслуживанию зданий, сооружений соответствуют код ОКПД2 81.10.10 «Услуги по комплексному обслуживанию помещений», однако такой код ОКПД2 Заказчиком в извещении и описании объекта закупки не устанавливался.</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Управления отмечает, что Заказчиком в объект закупки включены уборка помещений и территории, и техническое обслуживание инженерных систем здания, при этом регламент, функции, специфика выполнения этих работ и услуг являются различными, не имеют зависимости друг от друга, более того требуют наличия различных умений и навыков от работников, выполняющих работы по техобслуживанию инженерных систем и от работников, осуществляющих уборку.</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Из вышеизложенного следует, что Заказчиком, вопреки пояснениям представителя Заказчика, закупаются два отделенных комплекса услуг в рамках одной закупочной процедуры, при этом, исходя из расчета начальной (максимальной) цены контракта, вышеуказанные комплексы услуг являются </w:t>
      </w:r>
      <w:r>
        <w:rPr>
          <w:rStyle w:val="CharStyle16"/>
        </w:rPr>
        <w:t>равнозначными по объему,</w:t>
      </w:r>
      <w:r>
        <w:rPr>
          <w:lang w:val="ru-RU" w:eastAsia="ru-RU" w:bidi="ru-RU"/>
          <w:w w:val="100"/>
          <w:spacing w:val="0"/>
          <w:color w:val="000000"/>
          <w:position w:val="0"/>
        </w:rPr>
        <w:t xml:space="preserve"> в частности:</w:t>
      </w:r>
    </w:p>
    <w:p>
      <w:pPr>
        <w:pStyle w:val="Style5"/>
        <w:numPr>
          <w:ilvl w:val="0"/>
          <w:numId w:val="3"/>
        </w:numPr>
        <w:tabs>
          <w:tab w:leader="none" w:pos="1848" w:val="center"/>
          <w:tab w:leader="none" w:pos="2942" w:val="center"/>
          <w:tab w:leader="none" w:pos="3619" w:val="left"/>
          <w:tab w:leader="none" w:pos="5602" w:val="left"/>
          <w:tab w:leader="none" w:pos="7728" w:val="center"/>
          <w:tab w:leader="none" w:pos="8011" w:val="left"/>
          <w:tab w:leader="none" w:pos="10229" w:val="righ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объем</w:t>
        <w:tab/>
        <w:t>позиции</w:t>
        <w:tab/>
        <w:t>«Техническое</w:t>
        <w:tab/>
        <w:t>обслуживание</w:t>
        <w:tab/>
        <w:t>и</w:t>
        <w:tab/>
        <w:t>текущий</w:t>
        <w:tab/>
        <w:t>ремонт</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комплекса инженерных коммуникаций» в стоимостном эквиваленте обозначен как 5 360 878.08 руб.;</w:t>
      </w:r>
    </w:p>
    <w:p>
      <w:pPr>
        <w:pStyle w:val="Style5"/>
        <w:numPr>
          <w:ilvl w:val="0"/>
          <w:numId w:val="3"/>
        </w:numPr>
        <w:tabs>
          <w:tab w:leader="none" w:pos="1848" w:val="center"/>
          <w:tab w:leader="none" w:pos="2942" w:val="center"/>
          <w:tab w:leader="none" w:pos="3619"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объем</w:t>
        <w:tab/>
        <w:t>позиции</w:t>
        <w:tab/>
        <w:t>«Услуги по уборке» в стоимостном эквиваленте</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обозначен как 6 222 320.05 руб.;</w:t>
      </w:r>
    </w:p>
    <w:p>
      <w:pPr>
        <w:pStyle w:val="Style5"/>
        <w:numPr>
          <w:ilvl w:val="0"/>
          <w:numId w:val="3"/>
        </w:numPr>
        <w:tabs>
          <w:tab w:leader="none" w:pos="1848" w:val="center"/>
          <w:tab w:leader="none" w:pos="2942" w:val="center"/>
          <w:tab w:leader="none" w:pos="3619" w:val="left"/>
          <w:tab w:leader="none" w:pos="5602" w:val="left"/>
          <w:tab w:leader="none" w:pos="7728" w:val="center"/>
          <w:tab w:leader="none" w:pos="8011" w:val="left"/>
          <w:tab w:leader="none" w:pos="10229" w:val="righ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объем</w:t>
        <w:tab/>
        <w:t>позиции</w:t>
        <w:tab/>
        <w:t>«Техническое</w:t>
        <w:tab/>
        <w:t>обслуживание</w:t>
        <w:tab/>
        <w:t>и</w:t>
        <w:tab/>
        <w:t>текущий</w:t>
        <w:tab/>
        <w:t>ремонт</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конструктивных элементов здания» в стоимостном эквиваленте обозначен как 84 464.58 руб.</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Кроме того , Комиссия Управления также считает необходимым отметить, что 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предусмотрены свои, самостоятельные позиции приложения, как на работы, услуги по техническому обслуживанию зданий, сооружений (п.14 приложения), так и на услуги по уборке зданий, сооружений, прилегающих к ним территорий (п.36 приложения), что также указывает на то, что данные услуги являются самостоятельными объектами закупок.</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п.1 ч.1 ст.33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Комиссией Управления установлено что в составе жалобы Заявитель обжалует действия Заказчика, выразившиеся в неправомерном определении начальной (максимальной) цены контракта.</w:t>
      </w:r>
    </w:p>
    <w:p>
      <w:pPr>
        <w:pStyle w:val="Style5"/>
        <w:widowControl w:val="0"/>
        <w:keepNext w:val="0"/>
        <w:keepLines w:val="0"/>
        <w:shd w:val="clear" w:color="auto" w:fill="auto"/>
        <w:bidi w:val="0"/>
        <w:jc w:val="both"/>
        <w:spacing w:before="0" w:after="0" w:line="336" w:lineRule="exact"/>
        <w:ind w:left="20" w:right="20" w:firstLine="680"/>
      </w:pPr>
      <w:r>
        <w:rPr>
          <w:lang w:val="ru-RU" w:eastAsia="ru-RU" w:bidi="ru-RU"/>
          <w:w w:val="100"/>
          <w:spacing w:val="0"/>
          <w:color w:val="000000"/>
          <w:position w:val="0"/>
        </w:rPr>
        <w:t>Согласно ч.3 ст.99 Закона о контрактной системе ФАС России осуществляет контроль в сфере закупок, за исключением контроля, предусмотренного частями 5, 8 и 10 статьи 99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П.3 ч.8 ст.99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ч.10 ст.99 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п.2 ч.9 ст.99 Закона о контрактной системе контроль в сфере закупок в соответствии с ч.8 ст.99 Закона о контрактной системе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рассмотрение жалоб участников закупок на предмет правомерности обоснования и расчета начальной (максимальной) цены контракта не относится к компетенции Московского УФАС России, в связи с чем не подлежат рассмотрению.</w:t>
      </w:r>
    </w:p>
    <w:p>
      <w:pPr>
        <w:pStyle w:val="Style5"/>
        <w:widowControl w:val="0"/>
        <w:keepNext w:val="0"/>
        <w:keepLines w:val="0"/>
        <w:shd w:val="clear" w:color="auto" w:fill="auto"/>
        <w:bidi w:val="0"/>
        <w:jc w:val="both"/>
        <w:spacing w:before="0" w:after="0" w:line="322" w:lineRule="exact"/>
        <w:ind w:left="20" w:right="20" w:firstLine="680"/>
        <w:sectPr>
          <w:type w:val="continuous"/>
          <w:pgSz w:w="11909" w:h="16838"/>
          <w:pgMar w:top="1264" w:left="849" w:right="825" w:bottom="1130"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10"/>
        <w:widowControl w:val="0"/>
        <w:keepNext w:val="0"/>
        <w:keepLines w:val="0"/>
        <w:shd w:val="clear" w:color="auto" w:fill="auto"/>
        <w:bidi w:val="0"/>
        <w:jc w:val="left"/>
        <w:spacing w:before="0" w:after="308" w:line="260" w:lineRule="exact"/>
        <w:ind w:left="4580" w:right="0" w:firstLine="0"/>
      </w:pPr>
      <w:r>
        <w:rPr>
          <w:lang w:val="ru-RU" w:eastAsia="ru-RU" w:bidi="ru-RU"/>
          <w:w w:val="100"/>
          <w:spacing w:val="0"/>
          <w:color w:val="000000"/>
          <w:position w:val="0"/>
        </w:rPr>
        <w:t>Р Е Ш И Л А:</w:t>
      </w:r>
    </w:p>
    <w:p>
      <w:pPr>
        <w:pStyle w:val="Style5"/>
        <w:numPr>
          <w:ilvl w:val="0"/>
          <w:numId w:val="11"/>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Признать жалобу ИП Судников С.С. на действия Префектуры ЮЗАО г. Москвы обоснованной в части объединения в один лот функционально различных видов услуг и противоречивого описания объекта закупки.</w:t>
      </w:r>
    </w:p>
    <w:p>
      <w:pPr>
        <w:pStyle w:val="Style5"/>
        <w:numPr>
          <w:ilvl w:val="0"/>
          <w:numId w:val="11"/>
        </w:numPr>
        <w:tabs>
          <w:tab w:leader="none" w:pos="8578" w:val="left"/>
        </w:tabs>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Признать в действиях Заказчика нарушение п.1 ч.1</w:t>
        <w:tab/>
        <w:t>ст.33 Закона о контрактной системе.</w:t>
      </w:r>
    </w:p>
    <w:p>
      <w:pPr>
        <w:pStyle w:val="Style5"/>
        <w:numPr>
          <w:ilvl w:val="0"/>
          <w:numId w:val="11"/>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11"/>
        </w:numPr>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 xml:space="preserve"> Жалобу в части доводов о неправомерности обоснования начальной (максимальной) цены контракта оставить без рассмотрения на основании положений ст.99 Закона о контрактной системе.</w:t>
      </w:r>
    </w:p>
    <w:p>
      <w:pPr>
        <w:pStyle w:val="Style5"/>
        <w:numPr>
          <w:ilvl w:val="0"/>
          <w:numId w:val="11"/>
        </w:numPr>
        <w:widowControl w:val="0"/>
        <w:keepNext w:val="0"/>
        <w:keepLines w:val="0"/>
        <w:shd w:val="clear" w:color="auto" w:fill="auto"/>
        <w:bidi w:val="0"/>
        <w:jc w:val="both"/>
        <w:spacing w:before="0" w:after="60" w:line="322" w:lineRule="exact"/>
        <w:ind w:left="20" w:right="4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line="322" w:lineRule="exact"/>
        <w:ind w:left="20" w:right="4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42" w:val="right"/>
          <w:tab w:leader="none" w:pos="1015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Председательствующий</w:t>
        <w:tab/>
        <w:t>Д.С.</w:t>
        <w:tab/>
        <w:t>Грешнева</w:t>
      </w:r>
    </w:p>
    <w:p>
      <w:pPr>
        <w:pStyle w:val="Style5"/>
        <w:tabs>
          <w:tab w:leader="none" w:pos="8636" w:val="right"/>
          <w:tab w:leader="none" w:pos="1015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Е.Д.</w:t>
        <w:tab/>
        <w:t>Мартьянова</w:t>
      </w:r>
    </w:p>
    <w:p>
      <w:pPr>
        <w:pStyle w:val="Style5"/>
        <w:widowControl w:val="0"/>
        <w:keepNext w:val="0"/>
        <w:keepLines w:val="0"/>
        <w:shd w:val="clear" w:color="auto" w:fill="auto"/>
        <w:bidi w:val="0"/>
        <w:jc w:val="right"/>
        <w:spacing w:before="0" w:after="4518"/>
        <w:ind w:left="0" w:right="40" w:firstLine="0"/>
      </w:pPr>
      <w:r>
        <w:rPr>
          <w:lang w:val="ru-RU" w:eastAsia="ru-RU" w:bidi="ru-RU"/>
          <w:w w:val="100"/>
          <w:spacing w:val="0"/>
          <w:color w:val="000000"/>
          <w:position w:val="0"/>
        </w:rPr>
        <w:t>А.А. Матюшенко</w:t>
      </w:r>
    </w:p>
    <w:p>
      <w:pPr>
        <w:pStyle w:val="Style17"/>
        <w:widowControl w:val="0"/>
        <w:keepNext w:val="0"/>
        <w:keepLines w:val="0"/>
        <w:shd w:val="clear" w:color="auto" w:fill="auto"/>
        <w:bidi w:val="0"/>
        <w:jc w:val="left"/>
        <w:spacing w:before="0" w:after="0"/>
        <w:ind w:left="20" w:right="6040" w:firstLine="0"/>
      </w:pPr>
      <w:r>
        <w:rPr>
          <w:lang w:val="ru-RU" w:eastAsia="ru-RU" w:bidi="ru-RU"/>
          <w:w w:val="100"/>
          <w:spacing w:val="0"/>
          <w:color w:val="000000"/>
          <w:position w:val="0"/>
        </w:rPr>
        <w:t>Исп. Матюшенко А.А., 8(495) 784-75-05 2022-66604</w:t>
      </w:r>
    </w:p>
    <w:sectPr>
      <w:headerReference w:type="default" r:id="rId16"/>
      <w:footerReference w:type="default" r:id="rId17"/>
      <w:headerReference w:type="first" r:id="rId18"/>
      <w:type w:val="continuous"/>
      <w:pgSz w:w="11909" w:h="16838"/>
      <w:pgMar w:top="885" w:left="847" w:right="847"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55pt;margin-top:804.5pt;width:57.1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2022-66604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2022-66604</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43.55pt;margin-top:804.5pt;width:57.1pt;height:7.9pt;z-index:-188744060;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2022-66604</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4.5pt;margin-top:22.45pt;width:10.1pt;height:7.7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4.5pt;margin-top:22.45pt;width:10.1pt;height:7.7pt;z-index:-188744061;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3.05pt;margin-top:22.9pt;width:10.1pt;height:7.7pt;z-index:-188744059;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293.05pt;margin-top:22.9pt;width:10.1pt;height:7.7pt;z-index:-188744058;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6"/>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6"/>
    <w:rPr>
      <w:lang w:val="ru-RU" w:eastAsia="ru-RU" w:bidi="ru-RU"/>
      <w:u w:val="single"/>
      <w:w w:val="100"/>
      <w:spacing w:val="0"/>
      <w:color w:val="000000"/>
      <w:position w:val="0"/>
    </w:rPr>
  </w:style>
  <w:style w:type="character" w:customStyle="1" w:styleId="CharStyle15">
    <w:name w:val="Основной текст + 11 pt"/>
    <w:basedOn w:val="CharStyle6"/>
    <w:rPr>
      <w:lang w:val="ru-RU" w:eastAsia="ru-RU" w:bidi="ru-RU"/>
      <w:sz w:val="22"/>
      <w:szCs w:val="22"/>
      <w:w w:val="100"/>
      <w:spacing w:val="0"/>
      <w:color w:val="000000"/>
      <w:position w:val="0"/>
    </w:rPr>
  </w:style>
  <w:style w:type="character" w:customStyle="1" w:styleId="CharStyle16">
    <w:name w:val="Основной текст + Курсив"/>
    <w:basedOn w:val="CharStyle6"/>
    <w:rPr>
      <w:lang w:val="ru-RU" w:eastAsia="ru-RU" w:bidi="ru-RU"/>
      <w:i/>
      <w:iCs/>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6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spacing w:before="5040" w:line="1296"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 Id="rId18" Type="http://schemas.openxmlformats.org/officeDocument/2006/relationships/header" Target="header5.xml"/></Relationships>
</file>