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40" w:right="0" w:firstLine="0"/>
      </w:pPr>
      <w:r>
        <w:rPr>
          <w:lang w:val="ru-RU" w:eastAsia="ru-RU" w:bidi="ru-RU"/>
          <w:w w:val="100"/>
          <w:spacing w:val="0"/>
          <w:color w:val="000000"/>
          <w:position w:val="0"/>
        </w:rPr>
        <w:t>ФГБУ «ФЦМН» ФМБА России</w:t>
      </w:r>
    </w:p>
    <w:p>
      <w:pPr>
        <w:pStyle w:val="Style5"/>
        <w:widowControl w:val="0"/>
        <w:keepNext w:val="0"/>
        <w:keepLines w:val="0"/>
        <w:shd w:val="clear" w:color="auto" w:fill="auto"/>
        <w:bidi w:val="0"/>
        <w:jc w:val="left"/>
        <w:spacing w:before="0" w:after="289" w:line="322" w:lineRule="exact"/>
        <w:ind w:left="5340" w:right="1140" w:firstLine="0"/>
      </w:pPr>
      <w:r>
        <w:rPr>
          <w:lang w:val="ru-RU" w:eastAsia="ru-RU" w:bidi="ru-RU"/>
          <w:w w:val="100"/>
          <w:spacing w:val="0"/>
          <w:color w:val="000000"/>
          <w:position w:val="0"/>
        </w:rPr>
        <w:t>ул. Островитянова, д.1, стр.10, г. Москва, 117513</w:t>
      </w:r>
    </w:p>
    <w:p>
      <w:pPr>
        <w:pStyle w:val="Style5"/>
        <w:widowControl w:val="0"/>
        <w:keepNext w:val="0"/>
        <w:keepLines w:val="0"/>
        <w:shd w:val="clear" w:color="auto" w:fill="auto"/>
        <w:bidi w:val="0"/>
        <w:jc w:val="left"/>
        <w:spacing w:before="0" w:after="312" w:line="260" w:lineRule="exact"/>
        <w:ind w:left="5340" w:right="0" w:firstLine="0"/>
      </w:pPr>
      <w:r>
        <w:rPr>
          <w:lang w:val="ru-RU" w:eastAsia="ru-RU" w:bidi="ru-RU"/>
          <w:w w:val="100"/>
          <w:spacing w:val="0"/>
          <w:color w:val="000000"/>
          <w:position w:val="0"/>
        </w:rPr>
        <w:t>ООО «Моснейро»</w:t>
      </w:r>
    </w:p>
    <w:p>
      <w:pPr>
        <w:pStyle w:val="Style5"/>
        <w:widowControl w:val="0"/>
        <w:keepNext w:val="0"/>
        <w:keepLines w:val="0"/>
        <w:shd w:val="clear" w:color="auto" w:fill="auto"/>
        <w:bidi w:val="0"/>
        <w:jc w:val="left"/>
        <w:spacing w:before="0" w:after="1496" w:line="317" w:lineRule="exact"/>
        <w:ind w:left="5340" w:right="1140" w:firstLine="0"/>
      </w:pPr>
      <w:r>
        <w:rPr>
          <w:lang w:val="ru-RU" w:eastAsia="ru-RU" w:bidi="ru-RU"/>
          <w:w w:val="100"/>
          <w:spacing w:val="0"/>
          <w:color w:val="000000"/>
          <w:position w:val="0"/>
        </w:rPr>
        <w:t>наб. Даниловская, д. 4А, оф. 7, г. Москва, 115114</w:t>
      </w:r>
    </w:p>
    <w:p>
      <w:pPr>
        <w:pStyle w:val="Style11"/>
        <w:tabs>
          <w:tab w:leader="none" w:pos="9136" w:val="right"/>
          <w:tab w:leader="none" w:pos="10192"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077/06/106-13547/2022 о нарушении законодательства о контрактной системе 08.09.2022</w:t>
        <w:tab/>
        <w:t>г.</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38"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ФГБУ «ФЦМН» ФМБА России: Д.Е. Работаева (доверенность от 20.12.2021 №(05)21-143),</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ООО «Моснейро»: А.В. Петрашкевича (доверенность от 01.06.2022 №б/н),</w:t>
      </w:r>
    </w:p>
    <w:p>
      <w:pPr>
        <w:pStyle w:val="Style3"/>
        <w:framePr w:w="1685" w:h="394" w:wrap="around" w:vAnchor="text" w:hAnchor="margin" w:x="385" w:y="2780"/>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000428553409</w:t>
      </w:r>
    </w:p>
    <w:p>
      <w:pPr>
        <w:pStyle w:val="Style5"/>
        <w:widowControl w:val="0"/>
        <w:keepNext w:val="0"/>
        <w:keepLines w:val="0"/>
        <w:shd w:val="clear" w:color="auto" w:fill="auto"/>
        <w:bidi w:val="0"/>
        <w:jc w:val="both"/>
        <w:spacing w:before="0" w:after="176" w:line="322" w:lineRule="exact"/>
        <w:ind w:left="40" w:right="20" w:firstLine="700"/>
      </w:pPr>
      <w:r>
        <w:rPr>
          <w:lang w:val="ru-RU" w:eastAsia="ru-RU" w:bidi="ru-RU"/>
          <w:w w:val="100"/>
          <w:spacing w:val="0"/>
          <w:color w:val="000000"/>
          <w:position w:val="0"/>
        </w:rPr>
        <w:t>ООО «Нейрософт»: Е.В. Дремовой (доверенность от 10.03.2022 №35/2022), рассмотрев жалобу ООО «Моснейро» (далее — Заявитель) на действия ФГБУ «ФЦМН» ФМБА России (далее — Заказчик) при проведении электронного аукциона на право заключения государственного контракта на поставку медицинского оборудования, ввод в эксплуатацию оборудования, обучение правилам эксплуатации специалистов, эксплуатирующих оборудование, и специалистов, осуществляющих техническое обслуживание (Закупка № 0373400007722000384) (далее — аукцион), в соответствии с Федеральным законом от 05.04.2013 № 44-ФЗ «О контрактной</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6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spacing w:before="0" w:after="307"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НП/46483/22 от 06.09.2022), Комиссия Управления установила следующее.</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Заявитель обжалует действия комиссии Заказчика, выразившиеся в признании заявки Заявителя не соответствующей требованиям Извещения об осуществлении закупки по результатам рассмотрения заявок.</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Согласно протоколу подведения итогов определения поставщика (подрядчика, исполнителя) от 30.08.2022 №ИЭА1 заявка Заявителя (номер заявки 5) признана не соответствующей требованиям конкурсной документации, в частности на следующем основании: «1.3.1. Согласно стр.23 инструкции по эксплуатации Стимулятор магнитный ритмический </w:t>
      </w:r>
      <w:r>
        <w:rPr>
          <w:lang w:val="en-US" w:eastAsia="en-US" w:bidi="en-US"/>
          <w:w w:val="100"/>
          <w:spacing w:val="0"/>
          <w:color w:val="000000"/>
          <w:position w:val="0"/>
        </w:rPr>
        <w:t xml:space="preserve">Neuro-MSX </w:t>
      </w:r>
      <w:r>
        <w:rPr>
          <w:lang w:val="ru-RU" w:eastAsia="ru-RU" w:bidi="ru-RU"/>
          <w:w w:val="100"/>
          <w:spacing w:val="0"/>
          <w:color w:val="000000"/>
          <w:position w:val="0"/>
        </w:rPr>
        <w:t xml:space="preserve">по ТУ 26.60.13. -630-13218158-2019, указанному в регистрационном удостоверении РЗН № 2021/13634, ЭВМ, который обеспечивает настройку всех параметров стимуляции, не интегрирован, а расположен на отдельном кронштейне и подключен </w:t>
      </w:r>
      <w:r>
        <w:rPr>
          <w:lang w:val="en-US" w:eastAsia="en-US" w:bidi="en-US"/>
          <w:w w:val="100"/>
          <w:spacing w:val="0"/>
          <w:color w:val="000000"/>
          <w:position w:val="0"/>
        </w:rPr>
        <w:t xml:space="preserve">USB </w:t>
      </w:r>
      <w:r>
        <w:rPr>
          <w:lang w:val="ru-RU" w:eastAsia="ru-RU" w:bidi="ru-RU"/>
          <w:w w:val="100"/>
          <w:spacing w:val="0"/>
          <w:color w:val="000000"/>
          <w:position w:val="0"/>
        </w:rPr>
        <w:t>кабелем. Таким образом участник указал в заявке информацию, не соответствующую действительности».</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На основании п. 1, п.3 ч. 2 ст.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 а также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tabs>
          <w:tab w:leader="none" w:pos="2826" w:val="left"/>
        </w:tabs>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В силу ч.2</w:t>
        <w:tab/>
        <w:t>ст.33 Закона о контрактной системе документация</w:t>
      </w:r>
    </w:p>
    <w:p>
      <w:pPr>
        <w:pStyle w:val="Style5"/>
        <w:widowControl w:val="0"/>
        <w:keepNext w:val="0"/>
        <w:keepLines w:val="0"/>
        <w:shd w:val="clear" w:color="auto" w:fill="auto"/>
        <w:bidi w:val="0"/>
        <w:jc w:val="center"/>
        <w:spacing w:before="0" w:after="0" w:line="317" w:lineRule="exact"/>
        <w:ind w:left="20" w:right="0" w:firstLine="0"/>
      </w:pPr>
      <w:r>
        <w:rPr>
          <w:lang w:val="ru-RU" w:eastAsia="ru-RU" w:bidi="ru-RU"/>
          <w:w w:val="100"/>
          <w:spacing w:val="0"/>
          <w:color w:val="000000"/>
          <w:position w:val="0"/>
        </w:rPr>
        <w:t>о закупке в соответствии с требованиями, указанными в ч.1 ст.33 Закона</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tabs>
          <w:tab w:leader="none" w:pos="6226" w:val="left"/>
        </w:tabs>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Техническом задании установлены характеристики, так, например:</w:t>
        <w:tab/>
        <w:t>«Стимулятор глубоких тканей</w:t>
      </w:r>
    </w:p>
    <w:p>
      <w:pPr>
        <w:pStyle w:val="Style5"/>
        <w:tabs>
          <w:tab w:leader="none" w:pos="1618" w:val="left"/>
          <w:tab w:leader="none" w:pos="4064" w:val="left"/>
          <w:tab w:leader="none" w:pos="5878" w:val="left"/>
          <w:tab w:leader="none" w:pos="10191" w:val="right"/>
        </w:tabs>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электромагнитный переносной»: «Управляющий ЭВМ, который обеспечивает настройку</w:t>
        <w:tab/>
        <w:t>всем параметров</w:t>
        <w:tab/>
        <w:t>стимуляции,</w:t>
        <w:tab/>
        <w:t>интегрированный с</w:t>
        <w:tab/>
        <w:t>магнитным</w:t>
      </w:r>
    </w:p>
    <w:p>
      <w:pPr>
        <w:pStyle w:val="Style5"/>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стимулятором: Наличие».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tabs>
          <w:tab w:leader="none" w:pos="1618" w:val="left"/>
          <w:tab w:leader="none" w:pos="4123" w:val="left"/>
          <w:tab w:leader="none" w:pos="5126" w:val="left"/>
          <w:tab w:leader="none" w:pos="5878"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а) с</w:t>
        <w:tab/>
        <w:t>учетом положений</w:t>
        <w:tab/>
        <w:t>ч. 2</w:t>
        <w:tab/>
        <w:t>ст.43</w:t>
        <w:tab/>
        <w:t>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5"/>
        <w:tabs>
          <w:tab w:leader="none" w:pos="4139" w:val="left"/>
          <w:tab w:leader="none" w:pos="5949" w:val="left"/>
          <w:tab w:leader="none" w:pos="10191" w:val="right"/>
        </w:tabs>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w:t>
        <w:tab/>
        <w:t>соответствии</w:t>
        <w:tab/>
        <w:t>с законодательством</w:t>
        <w:tab/>
        <w:t>Российской</w:t>
      </w:r>
    </w:p>
    <w:p>
      <w:pPr>
        <w:pStyle w:val="Style5"/>
        <w:tabs>
          <w:tab w:leader="none" w:pos="1618" w:val="left"/>
          <w:tab w:leader="none" w:pos="4072" w:val="left"/>
          <w:tab w:leader="none" w:pos="5882" w:val="left"/>
          <w:tab w:leader="none" w:pos="10191" w:val="right"/>
        </w:tabs>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Федерации</w:t>
        <w:tab/>
        <w:t>(в случае, если в</w:t>
        <w:tab/>
        <w:t>соответствии</w:t>
        <w:tab/>
        <w:t>с законодательством</w:t>
        <w:tab/>
        <w:t>Российской</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Комиссией Управления установлено, что Заявителем в составе заявки представлены характеристики предлагаемых товаров, так, например: «Стимулятор глубоких тканей электромагнитный переносной»: «Управляющий ЭВМ, который обеспечивает настройку всем параметров стимуляции, интегрированный с магнитным стимулятором: Наличие».</w:t>
      </w:r>
    </w:p>
    <w:p>
      <w:pPr>
        <w:pStyle w:val="Style5"/>
        <w:widowControl w:val="0"/>
        <w:keepNext w:val="0"/>
        <w:keepLines w:val="0"/>
        <w:shd w:val="clear" w:color="auto" w:fill="auto"/>
        <w:bidi w:val="0"/>
        <w:jc w:val="both"/>
        <w:spacing w:before="0" w:after="0" w:line="312" w:lineRule="exact"/>
        <w:ind w:left="20" w:right="20" w:firstLine="820"/>
      </w:pPr>
      <w:r>
        <w:rPr>
          <w:lang w:val="ru-RU" w:eastAsia="ru-RU" w:bidi="ru-RU"/>
          <w:w w:val="100"/>
          <w:spacing w:val="0"/>
          <w:color w:val="000000"/>
          <w:position w:val="0"/>
        </w:rPr>
        <w:t xml:space="preserve">В составе заявки участника также закупки представлено регистрационное удостоверение № РЗН 2021/13634 от 04.03.2021 «Стимулятор магнитный ритмический </w:t>
      </w:r>
      <w:r>
        <w:rPr>
          <w:lang w:val="en-US" w:eastAsia="en-US" w:bidi="en-US"/>
          <w:w w:val="100"/>
          <w:spacing w:val="0"/>
          <w:color w:val="000000"/>
          <w:position w:val="0"/>
        </w:rPr>
        <w:t xml:space="preserve">«Neuro-MSX»» </w:t>
      </w:r>
      <w:r>
        <w:rPr>
          <w:lang w:val="ru-RU" w:eastAsia="ru-RU" w:bidi="ru-RU"/>
          <w:w w:val="100"/>
          <w:spacing w:val="0"/>
          <w:color w:val="000000"/>
          <w:position w:val="0"/>
        </w:rPr>
        <w:t>по ТУ 26.60.13-630-13218158-2019, производителя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ООО «Нейрософт», Россия, кроме того, в составе заявки наравне с характеристиками также указано регистрационное удостоверение №ФСР 2010/07437 от 22.04.2010, не относящееся согласно пояснениям представителя Заявителя к предлагаемому к поставке товару.</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составе жалобы Заявитель указывает на то, что на официальном сайте Росздавнадзора размещен неактуальное руководство по эксплуатации, ввиду чего, комиссия Заказчика при рассмотрении заявки участника закупки использовала не актуальную информацию.</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Вместе с тем предложенный к поставке стимулятор </w:t>
      </w:r>
      <w:r>
        <w:rPr>
          <w:lang w:val="en-US" w:eastAsia="en-US" w:bidi="en-US"/>
          <w:w w:val="100"/>
          <w:spacing w:val="0"/>
          <w:color w:val="000000"/>
          <w:position w:val="0"/>
        </w:rPr>
        <w:t xml:space="preserve">«Neuro-MSX» </w:t>
      </w:r>
      <w:r>
        <w:rPr>
          <w:lang w:val="ru-RU" w:eastAsia="ru-RU" w:bidi="ru-RU"/>
          <w:w w:val="100"/>
          <w:spacing w:val="0"/>
          <w:color w:val="000000"/>
          <w:position w:val="0"/>
        </w:rPr>
        <w:t>работает в нескольких режимах:</w:t>
      </w:r>
    </w:p>
    <w:p>
      <w:pPr>
        <w:pStyle w:val="Style5"/>
        <w:numPr>
          <w:ilvl w:val="0"/>
          <w:numId w:val="1"/>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Автономно с помощью встроенного аппарата управления со своей операционной системой, на ЖК-дисплее которого располагаются индикаторы и органы управления, отображающие параметры работы стимулятора - что и требует техническое задание;</w:t>
      </w:r>
    </w:p>
    <w:p>
      <w:pPr>
        <w:pStyle w:val="Style5"/>
        <w:numPr>
          <w:ilvl w:val="0"/>
          <w:numId w:val="1"/>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Посредством ПК, т.е. управляется из специализированного ПО, которое входит в комплект и устанавливается на ПК, который тоже входит в предложенный комплект поставки - что является улучшающей характеристикой.</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На заседании Комиссии Управления представитель Заказчика не согласившись с доводами жалобы пояснил, что даже согласно актуальному руководству по эксплуатации </w:t>
      </w:r>
      <w:r>
        <w:rPr>
          <w:lang w:val="en-US" w:eastAsia="en-US" w:bidi="en-US"/>
          <w:w w:val="100"/>
          <w:spacing w:val="0"/>
          <w:color w:val="000000"/>
          <w:position w:val="0"/>
        </w:rPr>
        <w:t xml:space="preserve">Neuro-MSX </w:t>
      </w:r>
      <w:r>
        <w:rPr>
          <w:lang w:val="ru-RU" w:eastAsia="ru-RU" w:bidi="ru-RU"/>
          <w:w w:val="100"/>
          <w:spacing w:val="0"/>
          <w:color w:val="000000"/>
          <w:position w:val="0"/>
        </w:rPr>
        <w:t>на стимулятор магнитный ритмический в п.2,3 стр.22 стимулятор может работать в нескольких режимах:</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«2.Под управлением специализированного программного обеспечения (ПО) «Нейро-МС.NET», позволяющего проводить терапевтические лечебные процедуры. При этом электронный блок стимулятора соединяется с </w:t>
      </w:r>
      <w:r>
        <w:rPr>
          <w:lang w:val="en-US" w:eastAsia="en-US" w:bidi="en-US"/>
          <w:w w:val="100"/>
          <w:spacing w:val="0"/>
          <w:color w:val="000000"/>
          <w:position w:val="0"/>
        </w:rPr>
        <w:t>USB</w:t>
      </w:r>
      <w:r>
        <w:rPr>
          <w:lang w:val="ru-RU" w:eastAsia="ru-RU" w:bidi="ru-RU"/>
          <w:w w:val="100"/>
          <w:spacing w:val="0"/>
          <w:color w:val="000000"/>
          <w:position w:val="0"/>
        </w:rPr>
        <w:t>-разъемом персонального компьютера (ПК) с помощью съемного интерфейсного кабеля, входящего в состав продукта.</w:t>
      </w:r>
    </w:p>
    <w:p>
      <w:pPr>
        <w:pStyle w:val="Style5"/>
        <w:tabs>
          <w:tab w:leader="none" w:pos="2353" w:val="left"/>
          <w:tab w:leader="none" w:pos="4858" w:val="left"/>
          <w:tab w:leader="none" w:pos="10210" w:val="right"/>
        </w:tabs>
        <w:widowControl w:val="0"/>
        <w:keepNext w:val="0"/>
        <w:keepLines w:val="0"/>
        <w:shd w:val="clear" w:color="auto" w:fill="auto"/>
        <w:bidi w:val="0"/>
        <w:jc w:val="both"/>
        <w:spacing w:before="0" w:after="0" w:line="312" w:lineRule="exact"/>
        <w:ind w:left="20" w:right="0" w:firstLine="720"/>
      </w:pPr>
      <w:r>
        <w:rPr>
          <w:lang w:val="ru-RU" w:eastAsia="ru-RU" w:bidi="ru-RU"/>
          <w:w w:val="100"/>
          <w:spacing w:val="0"/>
          <w:color w:val="000000"/>
          <w:position w:val="0"/>
        </w:rPr>
        <w:t>3.Под</w:t>
        <w:tab/>
        <w:t>управлением</w:t>
        <w:tab/>
        <w:t>электронейромиографического</w:t>
        <w:tab/>
        <w:t>и/или</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 xml:space="preserve">электроэнцефалографицеского оборудования производства ООО «Нейрософт». При этом электронный блок стимулятора соединяется с </w:t>
      </w:r>
      <w:r>
        <w:rPr>
          <w:lang w:val="en-US" w:eastAsia="en-US" w:bidi="en-US"/>
          <w:w w:val="100"/>
          <w:spacing w:val="0"/>
          <w:color w:val="000000"/>
          <w:position w:val="0"/>
        </w:rPr>
        <w:t>USB</w:t>
      </w:r>
      <w:r>
        <w:rPr>
          <w:lang w:val="ru-RU" w:eastAsia="ru-RU" w:bidi="ru-RU"/>
          <w:w w:val="100"/>
          <w:spacing w:val="0"/>
          <w:color w:val="000000"/>
          <w:position w:val="0"/>
        </w:rPr>
        <w:t>-разъемом ПК с помощью съемного интерфейсного кабеля, входящего в состав продукта», что противоречит установленному в Техническом задании требовании Заказчика о том, что интегрированный ЭВМ имеет лимитированные возможности по установке сторонних программ и непрофильному использованию, что уменьшает его подверженность к повреждениям при перемещении всей системы и делает его менее доступным к вредоносным ПО, поскольку необходимо наличие отдельной программы «Нейро-МС^БТ», устанавливаемой на ЭВМ.</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Кроме того, согласно руководству по эксплуатации </w:t>
      </w:r>
      <w:r>
        <w:rPr>
          <w:lang w:val="en-US" w:eastAsia="en-US" w:bidi="en-US"/>
          <w:w w:val="100"/>
          <w:spacing w:val="0"/>
          <w:color w:val="000000"/>
          <w:position w:val="0"/>
        </w:rPr>
        <w:t xml:space="preserve">Neuro-MSX </w:t>
      </w:r>
      <w:r>
        <w:rPr>
          <w:lang w:val="ru-RU" w:eastAsia="ru-RU" w:bidi="ru-RU"/>
          <w:w w:val="100"/>
          <w:spacing w:val="0"/>
          <w:color w:val="000000"/>
          <w:position w:val="0"/>
        </w:rPr>
        <w:t>на стимулятор магнитный ритмический, а именно рис.1.8 ЭВМ, который обеспечивает настройку всех параметров стимуляции, не интегрирован, а расположен на отдельном кронштейне.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Также представитель Заказчика отметил, что встроенный ЖК-дисплей не тождественен управляющей ЭВМ, поскольку он лишь отображает параметры</w:t>
      </w:r>
    </w:p>
    <w:p>
      <w:pPr>
        <w:pStyle w:val="Style5"/>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стимуляции, состояния индуктора и самого блока.</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Доказательств обратного Заявителем в ходе заседания Комиссии Управления не представлено.</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3"/>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w:t>
        <w:br w:type="page"/>
        <w:t>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3"/>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предусмотренных ч. 6 ст. 45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что решение комиссии Заказчика об отклонении заявки ООО «Моснейро» является правомерным.</w:t>
      </w:r>
    </w:p>
    <w:p>
      <w:pPr>
        <w:pStyle w:val="Style5"/>
        <w:widowControl w:val="0"/>
        <w:keepNext w:val="0"/>
        <w:keepLines w:val="0"/>
        <w:shd w:val="clear" w:color="auto" w:fill="auto"/>
        <w:bidi w:val="0"/>
        <w:jc w:val="both"/>
        <w:spacing w:before="0" w:after="6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3"/>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Признать жалобу ООО «Моснейро» на действия комиссии ФГБУ «ФЦМН» ФМБА России необоснованной.</w:t>
      </w:r>
    </w:p>
    <w:p>
      <w:pPr>
        <w:pStyle w:val="Style5"/>
        <w:numPr>
          <w:ilvl w:val="0"/>
          <w:numId w:val="5"/>
        </w:numPr>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Снять ограничения, наложенные на определение поставщика (подрядчика, исполнителя) письмом Московского УФАС России (исх.№ НП/46483/22 от 06.09.2022).</w:t>
      </w:r>
    </w:p>
    <w:p>
      <w:pPr>
        <w:pStyle w:val="Style5"/>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framePr w:w="2992" w:h="638" w:wrap="around" w:vAnchor="text" w:hAnchor="margin" w:x="-69" w:y="-60"/>
        <w:widowControl w:val="0"/>
        <w:keepNext w:val="0"/>
        <w:keepLines w:val="0"/>
        <w:shd w:val="clear" w:color="auto" w:fill="auto"/>
        <w:bidi w:val="0"/>
        <w:jc w:val="both"/>
        <w:spacing w:before="0" w:after="0" w:line="317" w:lineRule="exact"/>
        <w:ind w:left="0" w:right="100" w:firstLine="0"/>
      </w:pPr>
      <w:r>
        <w:rPr>
          <w:rStyle w:val="CharStyle6"/>
          <w:spacing w:val="0"/>
        </w:rPr>
        <w:t>Председательствующий Члены Комиссии:</w:t>
      </w:r>
    </w:p>
    <w:p>
      <w:pPr>
        <w:pStyle w:val="Style5"/>
        <w:widowControl w:val="0"/>
        <w:keepNext w:val="0"/>
        <w:keepLines w:val="0"/>
        <w:shd w:val="clear" w:color="auto" w:fill="auto"/>
        <w:bidi w:val="0"/>
        <w:jc w:val="right"/>
        <w:spacing w:before="0" w:after="0" w:line="322" w:lineRule="exact"/>
        <w:ind w:left="5160" w:right="20" w:firstLine="0"/>
      </w:pPr>
      <w:r>
        <w:rPr>
          <w:lang w:val="ru-RU" w:eastAsia="ru-RU" w:bidi="ru-RU"/>
          <w:w w:val="100"/>
          <w:spacing w:val="0"/>
          <w:color w:val="000000"/>
          <w:position w:val="0"/>
        </w:rPr>
        <w:t>Д.С. Грешнева А.А. Матюшенко</w:t>
      </w:r>
    </w:p>
    <w:p>
      <w:pPr>
        <w:pStyle w:val="Style5"/>
        <w:tabs>
          <w:tab w:leader="none" w:pos="9382" w:val="left"/>
        </w:tabs>
        <w:widowControl w:val="0"/>
        <w:keepNext w:val="0"/>
        <w:keepLines w:val="0"/>
        <w:shd w:val="clear" w:color="auto" w:fill="auto"/>
        <w:bidi w:val="0"/>
        <w:jc w:val="both"/>
        <w:spacing w:before="0" w:after="3429" w:line="322" w:lineRule="exact"/>
        <w:ind w:left="8780" w:right="0" w:firstLine="0"/>
      </w:pPr>
      <w:r>
        <w:rPr>
          <w:lang w:val="ru-RU" w:eastAsia="ru-RU" w:bidi="ru-RU"/>
          <w:w w:val="100"/>
          <w:spacing w:val="0"/>
          <w:color w:val="000000"/>
          <w:position w:val="0"/>
        </w:rPr>
        <w:t>Э.З.</w:t>
        <w:tab/>
        <w:t>Гугава</w:t>
      </w:r>
    </w:p>
    <w:p>
      <w:pPr>
        <w:pStyle w:val="Style15"/>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93" w:right="773"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6.2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2022-51540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6.8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2022-51540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8.2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150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336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