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03" w:line="260" w:lineRule="exact"/>
        <w:ind w:left="5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 МСППН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49" w:line="322" w:lineRule="exact"/>
        <w:ind w:left="5300" w:right="7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2-й Саратовский пр-д, д. 8; корп. 2, г. Москва, 109125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03" w:line="260" w:lineRule="exact"/>
        <w:ind w:left="5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«Сатори»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744" w:line="322" w:lineRule="exact"/>
        <w:ind w:left="530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Гаршина, д. 11, стр. 4, эт. 4, пом. 13, раб. пос. Томилино, г. Люберцы, 140070</w:t>
      </w:r>
    </w:p>
    <w:p>
      <w:pPr>
        <w:pStyle w:val="Style9"/>
        <w:tabs>
          <w:tab w:leader="none" w:pos="9101" w:val="right"/>
          <w:tab w:leader="none" w:pos="10157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077/06/106-14639/2022 о нарушении законодательства о контрактной системе 28.09.2022</w:t>
        <w:tab/>
        <w:t>г.</w:t>
        <w:tab/>
        <w:t>Москва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Н.С. Лушниковой,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</w:t>
      </w:r>
    </w:p>
    <w:p>
      <w:pPr>
        <w:pStyle w:val="Style3"/>
        <w:tabs>
          <w:tab w:leader="none" w:pos="597" w:val="left"/>
        </w:tabs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Э.З.</w:t>
        <w:tab/>
        <w:t>Гугава,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2019-nCoV.,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 МСППН: А.И. Ижболдина (доверенность от 27.09.2022 №33),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58" w:line="31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«Сатори»: А.С. Рогожина (доверенность от 12.09.2022 №1), рассмотрев жалобу ООО «Сатори» (далее — Заявитель) на действия ГБУ МСППН (далее — Заказчик) при проведении электронного аукциона на право заключения государственного контракта на поставку электронно-вычислительной техники (Закупка № 0373200016522000006)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001004799511</w:t>
      </w:r>
    </w:p>
    <w:p>
      <w:pPr>
        <w:pStyle w:val="Style13"/>
        <w:widowControl w:val="0"/>
        <w:keepNext/>
        <w:keepLines/>
        <w:shd w:val="clear" w:color="auto" w:fill="auto"/>
        <w:bidi w:val="0"/>
        <w:jc w:val="left"/>
        <w:spacing w:before="0" w:after="314" w:line="260" w:lineRule="exact"/>
        <w:ind w:left="440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электронного аукциона.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заседание Комиссии Управления Заказчиком представлены документы и сведения, запрашиваемые письмом Московского УФАС России от 17.06.2022 № ЕИ/32187/22.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действия Заказчика, выразившиеся в размещении извещения о проведении электронного аукцион в нарушение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п.1, п.3 ч.2 ст.42 Закона о контрактной системе, извещение об осуществлении закупки должно содержать описание объекта закупки в соответствии со ст.33 Закона о контрактной системе, а также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ч.2 ст.33 Закона о контрактной системе документация о закупке в соответствии с требованиями, указанными в ч. 1 ст. 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показателей,а также значения показателей, которые не могут изменяться.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доводам Заявителя, Заказчиком установлены неправомерные требования к товару, которые могут вводить в заблуждение участников закупки и препятствовать корректному формированию и подаче заявке на участие в закупке, а именно: «Количество встроенных в корпус портов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USB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3.2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Gen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(USB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3.1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Gen 1, USB 3.0): &gt;= 3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шт», при этом другим требованием установлено: «Тип интерфейса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USB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3.2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Gen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1: </w:t>
      </w:r>
      <w:r>
        <w:rPr>
          <w:lang w:val="en-US" w:eastAsia="en-US" w:bidi="en-US"/>
          <w:w w:val="100"/>
          <w:spacing w:val="0"/>
          <w:color w:val="000000"/>
          <w:position w:val="0"/>
        </w:rPr>
        <w:t>Type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-А», «Количество встроенных в корпус портов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USB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3.2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Gen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(USB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3.1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Gen 2, USB 3.1): &gt;= 2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шт», при этом другим требованием установлено, что «Количество встроенных в корпус портов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USB Type-C: &gt;= 3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шт», ввиду чего в одной части требований допускается указать количество портов «&gt;= 3 шт + &gt;= 2 шт» с общим количеством 5 шт., а в другой части не менее 3 портов должно быть </w:t>
      </w:r>
      <w:r>
        <w:rPr>
          <w:lang w:val="en-US" w:eastAsia="en-US" w:bidi="en-US"/>
          <w:w w:val="100"/>
          <w:spacing w:val="0"/>
          <w:color w:val="000000"/>
          <w:position w:val="0"/>
        </w:rPr>
        <w:t>Type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-А и при этом количество портов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USB Type-C: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&gt;= 3 шт.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ч.5 ст.23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Постановлением Правительства Российской Федерации от 08.02.2017 № 145 (далее — постановление Правительства РФ № 145)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</w:t>
      </w:r>
      <w:r>
        <w:rPr>
          <w:rStyle w:val="CharStyle15"/>
        </w:rPr>
        <w:t>ици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пальных нужд (далее — правила формирования КТРУ) и Правила использования каталога товаров, работ, услуг для обеспечения государственных и муниципальных нужд (далее — Правила использования КТРУ).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пп. «б» п.2 Правил использования КТРУ каталог используется заказчиками в целях описания объектов закупки, которое включается в план-график закупок, извещение об осуществлении закупки, приглашение и документацию о закупке.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п.4 Правил использования КТРУ Заказчики обязаны применять информацию, включенную в позицию каталога в соответствии с подпунктами «б» - «и» п.10 Правил формирования КТРУ!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п.5 Правил использования КТРУ Заказчик вправе указать в плане закупок, плане-графике закупок, формах обоснования закупок,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п.6 Правил использования КТРУ в случае предоставления иной и дополнительной информации, предусмотренной пунктом 5 Правил использования КТРУ,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извещению о проведении электронного аукциона от 15.09.2022 №0373200016522000006 закупается товар «Ноутбук» по позиции КТРУ 26.20.11.110</w:t>
        <w:softHyphen/>
        <w:t>00000165 и товар «Компьютер персональный настольный (моноблок)» по поз</w:t>
      </w:r>
      <w:r>
        <w:rPr>
          <w:rStyle w:val="CharStyle15"/>
        </w:rPr>
        <w:t>ици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КТРУ 26.20.15.000-00000037.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данной позиции каталога наличествует описание товара, так, например: (Количество встроенных в корпус док-станции портов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USB </w:t>
      </w:r>
      <w:r>
        <w:rPr>
          <w:lang w:val="ru-RU" w:eastAsia="ru-RU" w:bidi="ru-RU"/>
          <w:w w:val="100"/>
          <w:spacing w:val="0"/>
          <w:color w:val="000000"/>
          <w:position w:val="0"/>
        </w:rPr>
        <w:t>2.0 (характеристика не является обязательной для применения) : &gt; 1; &gt; 2; &gt; 3; &gt; 4),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(Количество встроенных в корпус док-станции портов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USB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3.2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Gen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(USB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3.1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Gen 2, USB 3.1)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(характеристика не является обязательной для применения): &gt; 1; &gt; 2; &gt; 3; &gt; 4),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(Количество встроенных в корпус портов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USB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3.2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Gen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(USB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3.1 </w:t>
      </w:r>
      <w:r>
        <w:rPr>
          <w:lang w:val="en-US" w:eastAsia="en-US" w:bidi="en-US"/>
          <w:w w:val="100"/>
          <w:spacing w:val="0"/>
          <w:color w:val="000000"/>
          <w:position w:val="0"/>
        </w:rPr>
        <w:t>Gen 1, USB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560" w:right="2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(характеристика не является обязательной для применения): &gt; 1; &gt; 2; &gt; 3; &gt; 4), (Количество встроенных в корпус портов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USB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3.2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Gen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(USB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3.1 </w:t>
      </w:r>
      <w:r>
        <w:rPr>
          <w:lang w:val="en-US" w:eastAsia="en-US" w:bidi="en-US"/>
          <w:w w:val="100"/>
          <w:spacing w:val="0"/>
          <w:color w:val="000000"/>
          <w:position w:val="0"/>
        </w:rPr>
        <w:t>Gen 2, USB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(характеристика не является обязательной для применения): &gt; 1; &gt; 2; &gt; 3; &gt; 4),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(Количество встроенных в корпус док-станции портов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USB Type-C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(характеристика не является обязательной для применения): &gt; 1; &gt; 2; &gt; 3; &gt; 4).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в Приложении 1 к Техническому заданию, так, например по п.1 «Ноутбук» установлены, в том числе, следующие характеристики: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«Количество встроенных в корпус портов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USB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3.2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Gen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(USB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3.1 </w:t>
      </w:r>
      <w:r>
        <w:rPr>
          <w:lang w:val="en-US" w:eastAsia="en-US" w:bidi="en-US"/>
          <w:w w:val="100"/>
          <w:spacing w:val="0"/>
          <w:color w:val="000000"/>
          <w:position w:val="0"/>
        </w:rPr>
        <w:t>Gen 1, USB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: &gt;= 3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шт»;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«Количество встроенных в корпус портов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USB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3.2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Gen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(USB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3.1 </w:t>
      </w:r>
      <w:r>
        <w:rPr>
          <w:lang w:val="en-US" w:eastAsia="en-US" w:bidi="en-US"/>
          <w:w w:val="100"/>
          <w:spacing w:val="0"/>
          <w:color w:val="000000"/>
          <w:position w:val="0"/>
        </w:rPr>
        <w:t>Gen 2, USB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: &gt;= 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шт»;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«Количество встроенных в корпус портов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USB Type-C: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&gt;= 3 шт», вместе с тем в описании поз</w:t>
      </w:r>
      <w:r>
        <w:rPr>
          <w:rStyle w:val="CharStyle15"/>
        </w:rPr>
        <w:t>ици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КТРУ 26.20.11.110-00000165 отражены вышеуказанные характеристики.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пояснил, что при формировании Технического задания использованы характеристики из поз</w:t>
      </w:r>
      <w:r>
        <w:rPr>
          <w:rStyle w:val="CharStyle15"/>
        </w:rPr>
        <w:t>ици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КТРУ 26.20.11.110-00000165 «Ноутбук» и позиции КТРУ 26.20.15.000</w:t>
        <w:softHyphen/>
        <w:t xml:space="preserve">00000037 «Компьютер персональный настольный (моноблок)», не применяя дополнительных характеристик, не предусмотренных вышеуказанными позициями КТРУ Кроме того, позиция КТРУ 26.20.11.110-00000165 позволяла указать большее количество портов, чем указано в Приложении №1 к Техническому заданию, так, например Количество встроенных в корпус портов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USB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3.2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Gen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(USB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3.1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Gen 2, USB 3.1): 4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шт».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выводу, что доводы жалобы не нашли своего подтверждения и являются необоснованными.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2.Кроме того, Заявитель обжалует неправомерное установление требований к товарам, указанным в Техническом задании, совокупности которых соответствует продукция единственного производителя ОАО «РИКОР ЭЛЕКТРОНИКС», при этом ограничивающей, является характеристика «Тип матрицы: </w:t>
      </w:r>
      <w:r>
        <w:rPr>
          <w:lang w:val="en-US" w:eastAsia="en-US" w:bidi="en-US"/>
          <w:w w:val="100"/>
          <w:spacing w:val="0"/>
          <w:color w:val="000000"/>
          <w:position w:val="0"/>
        </w:rPr>
        <w:t>ADS».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извещению о проведении электронного аукциона от 15.09.2022 №0373200016522000006 закупается товар «Компьютер персональный настольный (моноблок)» по позиции КТРУ 26.20.15.000-00000037.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данной позиции каталога наличествует описание товара, так, например: (Тип матрицы (характеристика не является обязательной для применения): </w:t>
      </w:r>
      <w:r>
        <w:rPr>
          <w:lang w:val="en-US" w:eastAsia="en-US" w:bidi="en-US"/>
          <w:w w:val="100"/>
          <w:spacing w:val="0"/>
          <w:color w:val="000000"/>
          <w:position w:val="0"/>
        </w:rPr>
        <w:t>AAS, ADS, AHVA, FFS, IPS, New Mode2, PLS, SFT, TN+film, VA, Vistarich).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Вместе с тем в Приложении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 Техническому заданию, так, например по поз. «Компьютер персональный настольный (моноблок)» установлены, в том числе, следующие характеристики: «Тип матрицы: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ADS»,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что не противоречит описанию позиции КТРУ 26.20.11.110-00000165, а также нормам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заседании Комиссии Управления представитель Заказчика пояснил, что характеристики, предусмотренные техническим заданием не влекут за собой ограничение количества участников закупки, поскольку на участие в электронном аукционе подано 5 заявок, при этом в составе заявок представлены товары разных производителей, так, например моноблок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«Depo»,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моноблок </w:t>
      </w:r>
      <w:r>
        <w:rPr>
          <w:lang w:val="en-US" w:eastAsia="en-US" w:bidi="en-US"/>
          <w:w w:val="100"/>
          <w:spacing w:val="0"/>
          <w:color w:val="000000"/>
          <w:position w:val="0"/>
        </w:rPr>
        <w:t>Aquarius Mnb Pro T51,</w:t>
        <w:br w:type="page"/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моноблок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RDW OfficePro </w:t>
      </w:r>
      <w:r>
        <w:rPr>
          <w:lang w:val="ru-RU" w:eastAsia="ru-RU" w:bidi="ru-RU"/>
          <w:w w:val="100"/>
          <w:spacing w:val="0"/>
          <w:color w:val="000000"/>
          <w:position w:val="0"/>
        </w:rPr>
        <w:t>23ВА, которые отвечают требованиям Технического задания.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при этом в составе жалобы Заявителем не представлено документов и сведений, свидетельствующих о невозможности формирования заявки в соответствии с требованиями Технического задания, а также не представлено документов и доказательств, свидетельствующих об ограничении количества участников закупки и о нарушении Заказчиком норм законодательства об осуществлении закупок, ввиду чего у Комиссии Управления отсутствуют правовые основания для признания Заказчика нару</w:t>
      </w:r>
      <w:r>
        <w:rPr>
          <w:rStyle w:val="CharStyle15"/>
        </w:rPr>
        <w:t>ши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  <w:r>
        <w:rPr>
          <w:rStyle w:val="CharStyle15"/>
        </w:rPr>
        <w:t>ши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 требования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 Комиссия Управления приходит к выводу о том, что вышеуказанный довод Заявителя является необоснованным.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46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Законом о контрактной системе, Комиссия Управления</w:t>
      </w:r>
    </w:p>
    <w:p>
      <w:pPr>
        <w:pStyle w:val="Style13"/>
        <w:widowControl w:val="0"/>
        <w:keepNext/>
        <w:keepLines/>
        <w:shd w:val="clear" w:color="auto" w:fill="auto"/>
        <w:bidi w:val="0"/>
        <w:jc w:val="center"/>
        <w:spacing w:before="0" w:after="352" w:line="260" w:lineRule="exact"/>
        <w:ind w:left="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1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1 .Признать жалобу ООО «Сатори» на действия ГБУ МСППН необоснованной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04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2.Снять ограничения, наложенные на определение поставщика (подрядчика, исполнителя) письмом Московского УФАС России (исх.№ НП/49745/22 от 23.09.2022).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85" w:line="30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3"/>
        <w:framePr w:w="2973" w:h="633" w:wrap="around" w:vAnchor="text" w:hAnchor="margin" w:x="-83" w:y="-5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0" w:right="100" w:firstLine="0"/>
      </w:pPr>
      <w:r>
        <w:rPr>
          <w:rStyle w:val="CharStyle4"/>
          <w:spacing w:val="0"/>
        </w:rPr>
        <w:t>Председательствующий Члены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322" w:lineRule="exact"/>
        <w:ind w:left="52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С.И. Казарин Н.С. Лушникова</w:t>
      </w:r>
    </w:p>
    <w:p>
      <w:pPr>
        <w:pStyle w:val="Style3"/>
        <w:tabs>
          <w:tab w:leader="none" w:pos="9358" w:val="left"/>
        </w:tabs>
        <w:widowControl w:val="0"/>
        <w:keepNext w:val="0"/>
        <w:keepLines w:val="0"/>
        <w:shd w:val="clear" w:color="auto" w:fill="auto"/>
        <w:bidi w:val="0"/>
        <w:spacing w:before="0" w:after="3013" w:line="322" w:lineRule="exact"/>
        <w:ind w:left="87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Э.З.</w:t>
        <w:tab/>
        <w:t>Гугава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75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Гугава Эдуард Звиадович 8 (495)784-75-05</w:t>
      </w:r>
    </w:p>
    <w:sectPr>
      <w:headerReference w:type="default" r:id="rId5"/>
      <w:footerReference w:type="default" r:id="rId6"/>
      <w:footerReference w:type="first" r:id="rId7"/>
      <w:titlePg/>
      <w:footnotePr>
        <w:pos w:val="pageBottom"/>
        <w:numFmt w:val="decimal"/>
        <w:numRestart w:val="continuous"/>
      </w:footnotePr>
      <w:type w:val="continuous"/>
      <w:pgSz w:w="11909" w:h="16838"/>
      <w:pgMar w:top="1118" w:left="907" w:right="792" w:bottom="1036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7" type="#_x0000_t202" style="position:absolute;margin-left:46.3pt;margin-top:795.45pt;width:56.9pt;height:7.9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6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8"/>
                  </w:rPr>
                  <w:t>2022-55229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45.85pt;margin-top:797.75pt;width:57.1pt;height:7.9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6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8"/>
                  </w:rPr>
                  <w:t>2022-55229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98.3pt;margin-top:34.75pt;width:5.3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6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8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0"/>
      <w:numFmt w:val="decimal"/>
      <w:lvlText w:val="3.%1)"/>
      <w:rPr>
        <w:lang w:val="en-US" w:eastAsia="en-US" w:bidi="en-US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0"/>
      <w:numFmt w:val="decimal"/>
      <w:lvlText w:val="3.%1)"/>
      <w:rPr>
        <w:lang w:val="en-US" w:eastAsia="en-US" w:bidi="en-US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character" w:customStyle="1" w:styleId="CharStyle5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7">
    <w:name w:val="Колонтитул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">
    <w:name w:val="Колонтитул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2)_"/>
    <w:basedOn w:val="DefaultParagraphFont"/>
    <w:link w:val="Style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Штрих-код (2)_"/>
    <w:basedOn w:val="DefaultParagraphFont"/>
    <w:link w:val="Style11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4">
    <w:name w:val="Заголовок №1_"/>
    <w:basedOn w:val="DefaultParagraphFont"/>
    <w:link w:val="Style13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5">
    <w:name w:val="Основной текст"/>
    <w:basedOn w:val="CharStyle5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7">
    <w:name w:val="Основной текст (3)_"/>
    <w:basedOn w:val="DefaultParagraphFont"/>
    <w:link w:val="Style16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5"/>
    <w:pPr>
      <w:widowControl w:val="0"/>
      <w:shd w:val="clear" w:color="auto" w:fill="FFFFFF"/>
      <w:jc w:val="both"/>
      <w:spacing w:after="420" w:line="0" w:lineRule="exact"/>
      <w:ind w:hanging="540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6">
    <w:name w:val="Колонтитул"/>
    <w:basedOn w:val="Normal"/>
    <w:link w:val="CharStyle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9">
    <w:name w:val="Основной текст (2)"/>
    <w:basedOn w:val="Normal"/>
    <w:link w:val="CharStyle10"/>
    <w:pPr>
      <w:widowControl w:val="0"/>
      <w:shd w:val="clear" w:color="auto" w:fill="FFFFFF"/>
      <w:spacing w:before="1740" w:line="317" w:lineRule="exact"/>
      <w:ind w:firstLine="434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1">
    <w:name w:val="Штрих-код (2)"/>
    <w:basedOn w:val="Normal"/>
    <w:link w:val="CharStyle12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FFFFFF"/>
      <w:outlineLvl w:val="0"/>
      <w:spacing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6">
    <w:name w:val="Основной текст (3)"/>
    <w:basedOn w:val="Normal"/>
    <w:link w:val="CharStyle17"/>
    <w:pPr>
      <w:widowControl w:val="0"/>
      <w:shd w:val="clear" w:color="auto" w:fill="FFFFFF"/>
      <w:spacing w:before="2940" w:line="23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footer" Target="footer2.xml"/></Relationships>
</file>