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70" w:wrap="around" w:vAnchor="text" w:hAnchor="margin" w:x="1648"/>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9pt;">
            <v:imagedata r:id="rId5" r:href="rId6"/>
          </v:shape>
        </w:pict>
      </w:r>
    </w:p>
    <w:p>
      <w:pPr>
        <w:pStyle w:val="Style3"/>
        <w:framePr w:w="1354" w:h="930" w:wrap="around" w:vAnchor="text" w:hAnchor="margin" w:x="1379" w:y="143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7"/>
        <w:framePr w:w="3368" w:h="470" w:wrap="around" w:vAnchor="text" w:hAnchor="margin" w:x="364" w:y="960"/>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57"/>
        <w:ind w:left="0" w:right="20" w:firstLine="0"/>
      </w:pPr>
      <w:r>
        <w:rPr>
          <w:rStyle w:val="CharStyle12"/>
        </w:rPr>
        <w:t xml:space="preserve">Мясницкий проезд, д.4, стр. 1 107078, г. Москва, тел. (495) 784-75-05, факс (495) 607-49-29 факс (495) 607-42-92, </w:t>
      </w:r>
      <w:r>
        <w:rPr>
          <w:rStyle w:val="CharStyle13"/>
        </w:rPr>
        <w:t>e-mail: to77@,fas.gov.ru</w:t>
      </w:r>
    </w:p>
    <w:p>
      <w:pPr>
        <w:pStyle w:val="Style17"/>
        <w:tabs>
          <w:tab w:leader="underscore" w:pos="3934" w:val="left"/>
        </w:tabs>
        <w:widowControl w:val="0"/>
        <w:keepNext w:val="0"/>
        <w:keepLines w:val="0"/>
        <w:shd w:val="clear" w:color="auto" w:fill="auto"/>
        <w:bidi w:val="0"/>
        <w:spacing w:before="0" w:after="190" w:line="200" w:lineRule="exact"/>
        <w:ind w:left="80" w:right="0" w:firstLine="0"/>
      </w:pPr>
      <w:r>
        <w:rPr>
          <w:rStyle w:val="CharStyle19"/>
        </w:rPr>
        <w:t xml:space="preserve">  №</w:t>
        <w:tab/>
      </w:r>
    </w:p>
    <w:p>
      <w:pPr>
        <w:pStyle w:val="Style10"/>
        <w:tabs>
          <w:tab w:leader="none" w:pos="1987" w:val="left"/>
        </w:tabs>
        <w:widowControl w:val="0"/>
        <w:keepNext w:val="0"/>
        <w:keepLines w:val="0"/>
        <w:shd w:val="clear" w:color="auto" w:fill="auto"/>
        <w:bidi w:val="0"/>
        <w:jc w:val="both"/>
        <w:spacing w:before="0" w:after="0" w:line="180" w:lineRule="exact"/>
        <w:ind w:left="0" w:right="0" w:firstLine="0"/>
      </w:pPr>
      <w:r>
        <w:rPr>
          <w:rStyle w:val="CharStyle12"/>
        </w:rPr>
        <w:t>На №</w:t>
        <w:tab/>
        <w:t>от</w:t>
      </w:r>
    </w:p>
    <w:p>
      <w:pPr>
        <w:pStyle w:val="Style20"/>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ГКУ АЗ (КС) ДЗМ</w:t>
      </w:r>
    </w:p>
    <w:p>
      <w:pPr>
        <w:pStyle w:val="Style20"/>
        <w:widowControl w:val="0"/>
        <w:keepNext w:val="0"/>
        <w:keepLines w:val="0"/>
        <w:shd w:val="clear" w:color="auto" w:fill="auto"/>
        <w:bidi w:val="0"/>
        <w:spacing w:before="0" w:after="300"/>
        <w:ind w:left="20" w:right="20" w:firstLine="0"/>
      </w:pPr>
      <w:r>
        <w:rPr>
          <w:lang w:val="ru-RU" w:eastAsia="ru-RU" w:bidi="ru-RU"/>
          <w:w w:val="100"/>
          <w:spacing w:val="0"/>
          <w:color w:val="000000"/>
          <w:position w:val="0"/>
        </w:rPr>
        <w:t xml:space="preserve">ул. Поликарпова, д. 4, г. Москва, 125284 </w:t>
      </w:r>
      <w:r>
        <w:fldChar w:fldCharType="begin"/>
      </w:r>
      <w:r>
        <w:rPr>
          <w:color w:val="000000"/>
        </w:rPr>
        <w:instrText> HYPERLINK "mailto:azks@zdrav.mos.ru" </w:instrText>
      </w:r>
      <w:r>
        <w:fldChar w:fldCharType="separate"/>
      </w:r>
      <w:r>
        <w:rPr>
          <w:rStyle w:val="Hyperlink"/>
          <w:lang w:val="en-US" w:eastAsia="en-US" w:bidi="en-US"/>
          <w:w w:val="100"/>
          <w:spacing w:val="0"/>
          <w:position w:val="0"/>
        </w:rPr>
        <w:t>azks@zdrav.mos.ru</w:t>
      </w:r>
      <w:r>
        <w:fldChar w:fldCharType="end"/>
      </w:r>
    </w:p>
    <w:p>
      <w:pPr>
        <w:pStyle w:val="Style20"/>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ООО «ИТМ-Миокард»</w:t>
      </w:r>
    </w:p>
    <w:p>
      <w:pPr>
        <w:pStyle w:val="Style20"/>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ул. Молодогвардейская, д. 10,</w:t>
      </w:r>
    </w:p>
    <w:p>
      <w:pPr>
        <w:pStyle w:val="Style20"/>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г. Москва, 121467</w:t>
      </w:r>
    </w:p>
    <w:p>
      <w:pPr>
        <w:pStyle w:val="Style20"/>
        <w:widowControl w:val="0"/>
        <w:keepNext w:val="0"/>
        <w:keepLines w:val="0"/>
        <w:shd w:val="clear" w:color="auto" w:fill="auto"/>
        <w:bidi w:val="0"/>
        <w:spacing w:before="0" w:after="0"/>
        <w:ind w:left="20" w:right="0" w:firstLine="0"/>
      </w:pPr>
      <w:r>
        <w:rPr>
          <w:lang w:val="en-US" w:eastAsia="en-US" w:bidi="en-US"/>
          <w:w w:val="100"/>
          <w:spacing w:val="0"/>
          <w:color w:val="000000"/>
          <w:position w:val="0"/>
        </w:rPr>
        <w:t>info@itm-m .com, a.s.epifanov@itm-</w:t>
      </w:r>
    </w:p>
    <w:p>
      <w:pPr>
        <w:pStyle w:val="Style20"/>
        <w:widowControl w:val="0"/>
        <w:keepNext w:val="0"/>
        <w:keepLines w:val="0"/>
        <w:shd w:val="clear" w:color="auto" w:fill="auto"/>
        <w:bidi w:val="0"/>
        <w:spacing w:before="0" w:after="300"/>
        <w:ind w:left="20" w:right="0" w:firstLine="0"/>
      </w:pPr>
      <w:r>
        <w:rPr>
          <w:lang w:val="en-US" w:eastAsia="en-US" w:bidi="en-US"/>
          <w:w w:val="100"/>
          <w:spacing w:val="0"/>
          <w:color w:val="000000"/>
          <w:position w:val="0"/>
        </w:rPr>
        <w:t>m.com</w:t>
      </w:r>
    </w:p>
    <w:p>
      <w:pPr>
        <w:pStyle w:val="Style20"/>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АО «ЕЭТП»</w:t>
      </w:r>
    </w:p>
    <w:p>
      <w:pPr>
        <w:pStyle w:val="Style20"/>
        <w:widowControl w:val="0"/>
        <w:keepNext w:val="0"/>
        <w:keepLines w:val="0"/>
        <w:shd w:val="clear" w:color="auto" w:fill="auto"/>
        <w:bidi w:val="0"/>
        <w:spacing w:before="0" w:after="0"/>
        <w:ind w:left="20" w:right="2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970" w:left="885" w:right="957" w:bottom="341" w:header="0" w:footer="3" w:gutter="0"/>
          <w:rtlGutter w:val="0"/>
          <w:cols w:num="2" w:space="720" w:equalWidth="0">
            <w:col w:w="3941" w:space="1325"/>
            <w:col w:w="4800"/>
          </w:cols>
          <w:noEndnote/>
          <w:docGrid w:linePitch="360"/>
        </w:sectPr>
      </w:pPr>
      <w:r>
        <w:rPr>
          <w:lang w:val="ru-RU" w:eastAsia="ru-RU" w:bidi="ru-RU"/>
          <w:w w:val="100"/>
          <w:spacing w:val="0"/>
          <w:color w:val="000000"/>
          <w:position w:val="0"/>
        </w:rPr>
        <w:t>Кожевническая ул., 14, стр. 5, г. Москва, 114115</w:t>
      </w: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4"/>
        <w:tabs>
          <w:tab w:leader="none" w:pos="9122" w:val="right"/>
          <w:tab w:leader="none" w:pos="10178"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 077/06/106-11947/2022 о нарушении законодательства о контрактной системе 12.08.2022</w:t>
        <w:tab/>
        <w:t>г.</w:t>
        <w:tab/>
        <w:t>Москва</w:t>
      </w:r>
    </w:p>
    <w:p>
      <w:pPr>
        <w:pStyle w:val="Style20"/>
        <w:widowControl w:val="0"/>
        <w:keepNext w:val="0"/>
        <w:keepLines w:val="0"/>
        <w:shd w:val="clear" w:color="auto" w:fill="auto"/>
        <w:bidi w:val="0"/>
        <w:spacing w:before="0" w:after="0" w:line="341" w:lineRule="exact"/>
        <w:ind w:left="4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20"/>
        <w:widowControl w:val="0"/>
        <w:keepNext w:val="0"/>
        <w:keepLines w:val="0"/>
        <w:shd w:val="clear" w:color="auto" w:fill="auto"/>
        <w:bidi w:val="0"/>
        <w:spacing w:before="0" w:after="0" w:line="317" w:lineRule="exact"/>
        <w:ind w:left="40" w:right="20" w:firstLine="680"/>
      </w:pPr>
      <w:r>
        <w:rPr>
          <w:lang w:val="ru-RU" w:eastAsia="ru-RU" w:bidi="ru-RU"/>
          <w:w w:val="100"/>
          <w:spacing w:val="0"/>
          <w:color w:val="000000"/>
          <w:position w:val="0"/>
        </w:rPr>
        <w:t>Председательствующего - главного специалиста-эксперта отдела обжалования государственных закупок Н.А. Узкого,</w:t>
      </w:r>
    </w:p>
    <w:p>
      <w:pPr>
        <w:pStyle w:val="Style20"/>
        <w:widowControl w:val="0"/>
        <w:keepNext w:val="0"/>
        <w:keepLines w:val="0"/>
        <w:shd w:val="clear" w:color="auto" w:fill="auto"/>
        <w:bidi w:val="0"/>
        <w:spacing w:before="0" w:after="0" w:line="317" w:lineRule="exact"/>
        <w:ind w:left="40" w:right="0" w:firstLine="680"/>
      </w:pPr>
      <w:r>
        <w:rPr>
          <w:lang w:val="ru-RU" w:eastAsia="ru-RU" w:bidi="ru-RU"/>
          <w:w w:val="100"/>
          <w:spacing w:val="0"/>
          <w:color w:val="000000"/>
          <w:position w:val="0"/>
        </w:rPr>
        <w:t>Членов Комиссии:</w:t>
      </w:r>
    </w:p>
    <w:p>
      <w:pPr>
        <w:pStyle w:val="Style20"/>
        <w:widowControl w:val="0"/>
        <w:keepNext w:val="0"/>
        <w:keepLines w:val="0"/>
        <w:shd w:val="clear" w:color="auto" w:fill="auto"/>
        <w:bidi w:val="0"/>
        <w:spacing w:before="0" w:after="0" w:line="317" w:lineRule="exact"/>
        <w:ind w:left="40" w:right="20" w:firstLine="68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20"/>
        <w:widowControl w:val="0"/>
        <w:keepNext w:val="0"/>
        <w:keepLines w:val="0"/>
        <w:shd w:val="clear" w:color="auto" w:fill="auto"/>
        <w:bidi w:val="0"/>
        <w:spacing w:before="0" w:after="0" w:line="341" w:lineRule="exact"/>
        <w:ind w:left="40" w:right="0" w:firstLine="680"/>
      </w:pPr>
      <w:r>
        <w:rPr>
          <w:lang w:val="ru-RU" w:eastAsia="ru-RU" w:bidi="ru-RU"/>
          <w:w w:val="100"/>
          <w:spacing w:val="0"/>
          <w:color w:val="000000"/>
          <w:position w:val="0"/>
        </w:rPr>
        <w:t>Специалиста-эксперта отдела обжалования государственных закупок</w:t>
      </w:r>
    </w:p>
    <w:p>
      <w:pPr>
        <w:pStyle w:val="Style20"/>
        <w:tabs>
          <w:tab w:leader="none" w:pos="643" w:val="left"/>
        </w:tabs>
        <w:widowControl w:val="0"/>
        <w:keepNext w:val="0"/>
        <w:keepLines w:val="0"/>
        <w:shd w:val="clear" w:color="auto" w:fill="auto"/>
        <w:bidi w:val="0"/>
        <w:spacing w:before="0" w:after="0" w:line="341" w:lineRule="exact"/>
        <w:ind w:left="40" w:right="0" w:firstLine="0"/>
      </w:pPr>
      <w:r>
        <w:rPr>
          <w:lang w:val="ru-RU" w:eastAsia="ru-RU" w:bidi="ru-RU"/>
          <w:w w:val="100"/>
          <w:spacing w:val="0"/>
          <w:color w:val="000000"/>
          <w:position w:val="0"/>
        </w:rPr>
        <w:t>Э.З.</w:t>
        <w:tab/>
        <w:t>Гугава,</w:t>
      </w:r>
    </w:p>
    <w:p>
      <w:pPr>
        <w:pStyle w:val="Style20"/>
        <w:widowControl w:val="0"/>
        <w:keepNext w:val="0"/>
        <w:keepLines w:val="0"/>
        <w:shd w:val="clear" w:color="auto" w:fill="auto"/>
        <w:bidi w:val="0"/>
        <w:spacing w:before="0" w:after="0" w:line="312" w:lineRule="exact"/>
        <w:ind w:left="4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20"/>
        <w:widowControl w:val="0"/>
        <w:keepNext w:val="0"/>
        <w:keepLines w:val="0"/>
        <w:shd w:val="clear" w:color="auto" w:fill="auto"/>
        <w:bidi w:val="0"/>
        <w:spacing w:before="0" w:after="0" w:line="312" w:lineRule="exact"/>
        <w:ind w:left="40" w:right="0" w:firstLine="680"/>
      </w:pPr>
      <w:r>
        <w:rPr>
          <w:lang w:val="ru-RU" w:eastAsia="ru-RU" w:bidi="ru-RU"/>
          <w:w w:val="100"/>
          <w:spacing w:val="0"/>
          <w:color w:val="000000"/>
          <w:position w:val="0"/>
        </w:rPr>
        <w:t>при участии представителей:</w:t>
      </w:r>
    </w:p>
    <w:p>
      <w:pPr>
        <w:pStyle w:val="Style20"/>
        <w:widowControl w:val="0"/>
        <w:keepNext w:val="0"/>
        <w:keepLines w:val="0"/>
        <w:shd w:val="clear" w:color="auto" w:fill="auto"/>
        <w:bidi w:val="0"/>
        <w:spacing w:before="0" w:after="0" w:line="341" w:lineRule="exact"/>
        <w:ind w:left="40" w:right="0" w:firstLine="680"/>
      </w:pPr>
      <w:r>
        <w:rPr>
          <w:lang w:val="ru-RU" w:eastAsia="ru-RU" w:bidi="ru-RU"/>
          <w:w w:val="100"/>
          <w:spacing w:val="0"/>
          <w:color w:val="000000"/>
          <w:position w:val="0"/>
        </w:rPr>
        <w:t>ГКУ АЗ (КС) ДЗМ: Ефтени Л.Г. (по доверенности от 12.01.2022 №13),</w:t>
      </w:r>
    </w:p>
    <w:p>
      <w:pPr>
        <w:pStyle w:val="Style20"/>
        <w:widowControl w:val="0"/>
        <w:keepNext w:val="0"/>
        <w:keepLines w:val="0"/>
        <w:shd w:val="clear" w:color="auto" w:fill="auto"/>
        <w:bidi w:val="0"/>
        <w:spacing w:before="0" w:after="0" w:line="341" w:lineRule="exact"/>
        <w:ind w:left="40" w:right="20" w:firstLine="680"/>
      </w:pPr>
      <w:r>
        <w:rPr>
          <w:lang w:val="ru-RU" w:eastAsia="ru-RU" w:bidi="ru-RU"/>
          <w:w w:val="100"/>
          <w:spacing w:val="0"/>
          <w:color w:val="000000"/>
          <w:position w:val="0"/>
        </w:rPr>
        <w:t>ООО «ИТМ-Миокард»: Петрашкевич А.В. (по доверенности от 09.08.2022 №22П),</w:t>
      </w:r>
    </w:p>
    <w:p>
      <w:pPr>
        <w:pStyle w:val="Style22"/>
        <w:framePr w:w="1685" w:h="394" w:wrap="around" w:vAnchor="text" w:hAnchor="margin" w:x="385" w:y="1571"/>
        <w:widowControl w:val="0"/>
        <w:keepNext w:val="0"/>
        <w:keepLines w:val="0"/>
        <w:shd w:val="clear" w:color="auto" w:fill="auto"/>
        <w:bidi w:val="0"/>
        <w:jc w:val="left"/>
        <w:spacing w:before="0" w:after="0" w:line="240" w:lineRule="auto"/>
        <w:ind w:left="0" w:right="0" w:firstLine="0"/>
      </w:pPr>
      <w:r>
        <w:rPr>
          <w:w w:val="100"/>
          <w:spacing w:val="0"/>
          <w:color w:val="000000"/>
          <w:position w:val="0"/>
        </w:rPr>
        <w:t>001037060117</w:t>
      </w:r>
    </w:p>
    <w:p>
      <w:pPr>
        <w:pStyle w:val="Style20"/>
        <w:widowControl w:val="0"/>
        <w:keepNext w:val="0"/>
        <w:keepLines w:val="0"/>
        <w:shd w:val="clear" w:color="auto" w:fill="auto"/>
        <w:bidi w:val="0"/>
        <w:spacing w:before="0" w:after="172" w:line="341" w:lineRule="exact"/>
        <w:ind w:left="40" w:right="20" w:firstLine="680"/>
      </w:pPr>
      <w:r>
        <w:rPr>
          <w:lang w:val="ru-RU" w:eastAsia="ru-RU" w:bidi="ru-RU"/>
          <w:w w:val="100"/>
          <w:spacing w:val="0"/>
          <w:color w:val="000000"/>
          <w:position w:val="0"/>
        </w:rPr>
        <w:t>рассмотрев жалобу ООО «ИТМ-Миокард» (далее — Заявитель) на действия ГКУ АЗ (КС) ДЗМ (далее — Заказчик) при проведении электронного аукциона на право заключения государственного контракта на поставку системы мониторинга показателей при проведении сердечно-легочного стресс-теста с нагрузкой, в рамках</w:t>
      </w:r>
    </w:p>
    <w:p>
      <w:pPr>
        <w:framePr w:h="461" w:wrap="notBeside" w:vAnchor="text" w:hAnchor="text" w:y="1"/>
        <w:widowControl w:val="0"/>
        <w:jc w:val="left"/>
        <w:rPr>
          <w:sz w:val="2"/>
          <w:szCs w:val="2"/>
        </w:rPr>
      </w:pPr>
      <w:r>
        <w:pict>
          <v:shape id="_x0000_s1030" type="#_x0000_t75" style="width:126pt;height:23pt;">
            <v:imagedata r:id="rId10" r:href="rId11"/>
          </v:shape>
        </w:pict>
      </w:r>
    </w:p>
    <w:p>
      <w:pPr>
        <w:widowControl w:val="0"/>
        <w:rPr>
          <w:sz w:val="2"/>
          <w:szCs w:val="2"/>
        </w:rPr>
      </w:pPr>
    </w:p>
    <w:p>
      <w:pPr>
        <w:widowControl w:val="0"/>
        <w:rPr>
          <w:sz w:val="2"/>
          <w:szCs w:val="2"/>
        </w:rPr>
        <w:sectPr>
          <w:type w:val="continuous"/>
          <w:pgSz w:w="11909" w:h="16838"/>
          <w:pgMar w:top="955" w:left="818" w:right="847" w:bottom="326" w:header="0" w:footer="3" w:gutter="0"/>
          <w:rtlGutter w:val="0"/>
          <w:cols w:space="720"/>
          <w:noEndnote/>
          <w:docGrid w:linePitch="360"/>
        </w:sectPr>
      </w:pPr>
    </w:p>
    <w:p>
      <w:pPr>
        <w:pStyle w:val="Style20"/>
        <w:widowControl w:val="0"/>
        <w:keepNext w:val="0"/>
        <w:keepLines w:val="0"/>
        <w:shd w:val="clear" w:color="auto" w:fill="auto"/>
        <w:bidi w:val="0"/>
        <w:spacing w:before="0" w:after="365" w:line="341" w:lineRule="exact"/>
        <w:ind w:left="20" w:right="20" w:firstLine="0"/>
      </w:pPr>
      <w:r>
        <w:rPr>
          <w:lang w:val="ru-RU" w:eastAsia="ru-RU" w:bidi="ru-RU"/>
          <w:w w:val="100"/>
          <w:spacing w:val="0"/>
          <w:color w:val="000000"/>
          <w:position w:val="0"/>
        </w:rPr>
        <w:t>реализации Государственной программы города Москвы «Развитие здравоохранения города Москвы (Столичное здравоохранение)» (МО2022-360) (Закупка № 0873200009822008555)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26"/>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 регламентом, утвержденным приказом ФАС России от 19.11.2014 №727/14,</w:t>
      </w:r>
    </w:p>
    <w:p>
      <w:pPr>
        <w:pStyle w:val="Style27"/>
        <w:widowControl w:val="0"/>
        <w:keepNext/>
        <w:keepLines/>
        <w:shd w:val="clear" w:color="auto" w:fill="auto"/>
        <w:bidi w:val="0"/>
        <w:spacing w:before="0" w:after="292"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20"/>
        <w:widowControl w:val="0"/>
        <w:keepNext w:val="0"/>
        <w:keepLines w:val="0"/>
        <w:shd w:val="clear" w:color="auto" w:fill="auto"/>
        <w:bidi w:val="0"/>
        <w:spacing w:before="0" w:after="0" w:line="341"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Заказчиков при проведении электронного аукциона.</w:t>
      </w:r>
    </w:p>
    <w:p>
      <w:pPr>
        <w:pStyle w:val="Style20"/>
        <w:widowControl w:val="0"/>
        <w:keepNext w:val="0"/>
        <w:keepLines w:val="0"/>
        <w:shd w:val="clear" w:color="auto" w:fill="auto"/>
        <w:bidi w:val="0"/>
        <w:spacing w:before="0" w:after="0" w:line="341" w:lineRule="exact"/>
        <w:ind w:left="20" w:right="20" w:firstLine="720"/>
      </w:pPr>
      <w:r>
        <w:rPr>
          <w:lang w:val="ru-RU" w:eastAsia="ru-RU" w:bidi="ru-RU"/>
          <w:w w:val="100"/>
          <w:spacing w:val="0"/>
          <w:color w:val="000000"/>
          <w:position w:val="0"/>
        </w:rPr>
        <w:t>Заявитель в составе жалобы указывает, что Заказчиками нарушен порядок заключения государственного контракта, поскольку, по мнению Заявителя, Заказчиками неправомерно не приняты направленный победителем протокол разногласий.</w:t>
      </w:r>
    </w:p>
    <w:p>
      <w:pPr>
        <w:pStyle w:val="Style20"/>
        <w:widowControl w:val="0"/>
        <w:keepNext w:val="0"/>
        <w:keepLines w:val="0"/>
        <w:shd w:val="clear" w:color="auto" w:fill="auto"/>
        <w:bidi w:val="0"/>
        <w:spacing w:before="0" w:after="0" w:line="341" w:lineRule="exact"/>
        <w:ind w:left="2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09.08.2022 № ЕИ/41284/22, Комиссия Управления установила следующее.</w:t>
      </w:r>
    </w:p>
    <w:p>
      <w:pPr>
        <w:pStyle w:val="Style20"/>
        <w:widowControl w:val="0"/>
        <w:keepNext w:val="0"/>
        <w:keepLines w:val="0"/>
        <w:shd w:val="clear" w:color="auto" w:fill="auto"/>
        <w:bidi w:val="0"/>
        <w:spacing w:before="0" w:after="0" w:line="341" w:lineRule="exact"/>
        <w:ind w:left="20" w:right="20" w:firstLine="72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03.08.2022 №ИЭА1 ООО «ИТМ-Миокард» признано победителем аукциона.</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ч.1 ст.51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Законом о контрактной системе, с иным участником закупки (далее в настоящей статье - участник закупки, с которым заключается контракт) не ранее чем через десять дней (если Законом о контрактной системе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пп. «а» п. 2 ч.6 ст. 51 Закона о контрактной системе, после предоставления участником закупки, с которым заключается контракт, обеспечения исполнения контракта в соответствии с требованиями Закона о контрактной системе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Законом о контрактной системе, обязаны подписать контракт в порядке, установленном ст. 51 Закона о контрактной системе.</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п.1 ч.2 ст.51 Закона о контрактной системе не позднее двух рабочих дней, следующих за днем размещения в единой информационной системе протоколов, указанных в ч. 1 ст. 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 5 ч. 2 ст. 42 Закона о контрактной системе, который должен содержать:</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а) информацию, предусмотренную ч. 6 ст. 30, пп. 1, 2, 5 - 8, 10, 17, 18 и 20 ч. 1 ст. 42 Закона о контрактной системе;</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б) цену контракта, соответствующую цене контракта, предложенной в соответствии с Законом о контрактной системе участником закупки, с которым заключается контракт, с учетом положений нормативных правовых актов, принятых в соответствии со ст. 14 Закона о контрактной системе, положений ст. 28 и 29 Закона о контрактной системе, цену каждого отдельного этапа исполнения контракта, определенную в соответствии с ч. 2 ст. 34 Закона о контрактной системе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подпунктами «в» или «г» настоящего пункта;</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 14 Закона о контрактной системе, положений ст. 28 и 29 Закона о контрактной системе (в случае, предусмотренном ч. 24 ст. 22 Закона о контрактной системе).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г) 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Законом о контрактной системе);</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д) информацию, предусмотренную пп. «а», «б», «г», «е» и «п» п. 1, пп. «а» и «б» п. 2 ч. 1 ст. 43 Закона о контрактной системе, а также информацию, предусмотренную пп. «г» п. 2 ст. 43 Закона о контрактной системе, в случае проведения электронного конкурса. При этом информация, предусмотренная пп. «а», «б», «г» и «е» п. 1 ч. 1 ст. 43 Закона о контрактной системе, указывается с использованием единой информационной системы по состоянию на дату и время формирования проекта контракта;</w:t>
      </w:r>
    </w:p>
    <w:p>
      <w:pPr>
        <w:pStyle w:val="Style20"/>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е) иные документы (при наличии).</w:t>
      </w:r>
    </w:p>
    <w:p>
      <w:pPr>
        <w:pStyle w:val="Style20"/>
        <w:widowControl w:val="0"/>
        <w:keepNext w:val="0"/>
        <w:keepLines w:val="0"/>
        <w:shd w:val="clear" w:color="auto" w:fill="auto"/>
        <w:bidi w:val="0"/>
        <w:spacing w:before="0" w:after="0" w:line="341" w:lineRule="exact"/>
        <w:ind w:left="20" w:right="20" w:firstLine="720"/>
      </w:pPr>
      <w:r>
        <w:rPr>
          <w:lang w:val="ru-RU" w:eastAsia="ru-RU" w:bidi="ru-RU"/>
          <w:w w:val="100"/>
          <w:spacing w:val="0"/>
          <w:color w:val="000000"/>
          <w:position w:val="0"/>
        </w:rPr>
        <w:t>На заседании Комиссии Управления установлено, что Заказчиком, в срок, установленный п.1 ч.2 ст.51 Закона о контрактной системе, направлен победителю электронного аукциона проект государственного контракта.</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пп. «а» п.2 ч.3 ст.51 Закона о контрактной системе не позднее пяти рабочих дней, следующих за днем размещения заказчиком в соответствии с ч. 2 ст.51 Закона о контрактной системе проекта контракта, участник закупки, с которым заключается контракт,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случае наличия разногласий в отношении информации, включенной в проект контракта в соответствии с п. 1 ч. 2 ст. 51 Закона о контактной системе,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Воспользовавшись правом, предусмотренным пп. «а» п.2 ч.3 ст.51 Закона о контрактной системе, Заявителем 05.08.2022 направлен в адрес Заказчика протокол разногласий с указанием замечаний в части выявленных несоответствий.</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силу п.3 ч.4 ст.51 Закона о контрактной системе не позднее двух рабочих дней, следующих за днем размещения участником закупки, с которым заключается контракт, информации и документов в соответствии с ч. 3 ст. 53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п. 2 ч. 3 ст. 51 Закона о контрактной системе. При таком размещении заказчик также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(без размещения на официальном сайте) информацию о причинах отказа учесть полностью или частично информацию, содержащуюся в протоколе разногласий. При этом информация, предусмотренная пп. «б» п. 2 ч. 3 ст. 51 Закона о контрактной системе, подлежит обязательному учету.</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При этом, 05.08.2022 Заказчиком повторно направлен проект контракта без учета устранения замечаний в части выявленных несоответствий.</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На основании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На заседании Комиссии Управления представитель Заявителя пояснил, что Заказчиком изменен пункт 1.1 государственного контракта, а именно добавлено описание: «(Комплект изделий, предназначенных для неинвазивной оценки реакции сердечнососудистой и дыхательной системы пациента на физические нагрузки или для измерения расхода энергии методами непрямой калориметрии. На каждом дыхательном цикле при помощи газоанализаторов регистрируются показатели объема дыхания, потребления кислорода </w:t>
      </w:r>
      <w:r>
        <w:rPr>
          <w:lang w:val="en-US" w:eastAsia="en-US" w:bidi="en-US"/>
          <w:w w:val="100"/>
          <w:spacing w:val="0"/>
          <w:color w:val="000000"/>
          <w:position w:val="0"/>
        </w:rPr>
        <w:t xml:space="preserve">(O2) </w:t>
      </w:r>
      <w:r>
        <w:rPr>
          <w:lang w:val="ru-RU" w:eastAsia="ru-RU" w:bidi="ru-RU"/>
          <w:w w:val="100"/>
          <w:spacing w:val="0"/>
          <w:color w:val="000000"/>
          <w:position w:val="0"/>
        </w:rPr>
        <w:t xml:space="preserve">и выделения диоксида углерода </w:t>
      </w:r>
      <w:r>
        <w:rPr>
          <w:lang w:val="en-US" w:eastAsia="en-US" w:bidi="en-US"/>
          <w:w w:val="100"/>
          <w:spacing w:val="0"/>
          <w:color w:val="000000"/>
          <w:position w:val="0"/>
        </w:rPr>
        <w:t xml:space="preserve">(CO2) </w:t>
      </w:r>
      <w:r>
        <w:rPr>
          <w:lang w:val="ru-RU" w:eastAsia="ru-RU" w:bidi="ru-RU"/>
          <w:w w:val="100"/>
          <w:spacing w:val="0"/>
          <w:color w:val="000000"/>
          <w:position w:val="0"/>
        </w:rPr>
        <w:t>под нагрузкой, а одновременно производится измерение жизненно важных параметров. Во время проведения стресс-теста с помо</w:t>
      </w:r>
      <w:r>
        <w:rPr>
          <w:rStyle w:val="CharStyle26"/>
        </w:rPr>
        <w:t>щь</w:t>
      </w:r>
      <w:r>
        <w:rPr>
          <w:lang w:val="ru-RU" w:eastAsia="ru-RU" w:bidi="ru-RU"/>
          <w:w w:val="100"/>
          <w:spacing w:val="0"/>
          <w:color w:val="000000"/>
          <w:position w:val="0"/>
        </w:rPr>
        <w:t>ю конкретного изделия (например, эргометра) пациент надевает маску, капюшон или берет в рот загубник (мундштук) с трубкой отвода к газоанализаторам. Система, как правило, регистрирует показатели функционального состояния [например, дает возможность непрерывного снятия электрокардиограммы (ЭКГ)], обеспечивает контроль нагрузок, позволяет вывести результаты на дисплей или распечатать их.)», при этом данное описание отсутствует в техническом задании и в проекте государственного контракта, ращенным в единой информационной системе в сфере закупок, ввиду чего Заявителем не выражалось согласие на данные условия.</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Кроме того, представитель Заявителя пояснил, что Приложение №1 и Приложение №3 к государственному контракту в качестве поставляемого оборудования указано «Система мониторинга показателей при проведении сердечно</w:t>
        <w:softHyphen/>
        <w:t>легочного стресс-теста с нагрузкой (26.60.12.129-00000192)» вместе с тем, в составе заявки Заявителем указано наименование предлагаемого к поставке оборудования «Комплекс аппаратно-программный анализа электрокардиограмм «МИОКАРД-12», опция «нагрузочные пробы».</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с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20"/>
        <w:tabs>
          <w:tab w:leader="none" w:pos="2967" w:val="left"/>
          <w:tab w:leader="none" w:pos="3447" w:val="left"/>
        </w:tabs>
        <w:widowControl w:val="0"/>
        <w:keepNext w:val="0"/>
        <w:keepLines w:val="0"/>
        <w:shd w:val="clear" w:color="auto" w:fill="auto"/>
        <w:bidi w:val="0"/>
        <w:spacing w:before="0" w:after="0" w:line="341" w:lineRule="exact"/>
        <w:ind w:left="20" w:right="20" w:firstLine="720"/>
      </w:pPr>
      <w:r>
        <w:rPr>
          <w:lang w:val="ru-RU" w:eastAsia="ru-RU" w:bidi="ru-RU"/>
          <w:w w:val="100"/>
          <w:spacing w:val="0"/>
          <w:color w:val="000000"/>
          <w:position w:val="0"/>
        </w:rPr>
        <w:t xml:space="preserve">На заседании Комиссии Управления представитель Заказчика пояснил, что Ввиду отсутствия в первой части заявки победителя наименования поставляемого медицинского изделия - Оборудования, его фирменного наименования, торговой марки производителя, Заказчиком в п. 1.1 проекта контракта указано наименование оборудования в соответствии с наименованием указанным в заявке участника и в номенклатурной классификации медицинских изделий по видам </w:t>
      </w:r>
      <w:r>
        <w:rPr>
          <w:lang w:val="en-US" w:eastAsia="en-US" w:bidi="en-US"/>
          <w:w w:val="100"/>
          <w:spacing w:val="0"/>
          <w:color w:val="000000"/>
          <w:position w:val="0"/>
        </w:rPr>
        <w:t>(</w:t>
      </w:r>
      <w:r>
        <w:fldChar w:fldCharType="begin"/>
      </w:r>
      <w:r>
        <w:rPr>
          <w:color w:val="000000"/>
        </w:rPr>
        <w:instrText> HYPERLINK "https://zakupki.gov.ru/epz/ktru/ktruCard/commonInfo.html?itemId=79899" </w:instrText>
      </w:r>
      <w:r>
        <w:fldChar w:fldCharType="separate"/>
      </w:r>
      <w:r>
        <w:rPr>
          <w:rStyle w:val="Hyperlink"/>
          <w:lang w:val="en-US" w:eastAsia="en-US" w:bidi="en-US"/>
          <w:w w:val="100"/>
          <w:spacing w:val="0"/>
          <w:position w:val="0"/>
        </w:rPr>
        <w:t>https://zakupki.gov.ru/epz/ktru/ktruCard/commonInfo.html?itemId=79899</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по коду КТРУ 26.60.12.129-00000192</w:t>
        <w:tab/>
        <w:t>-</w:t>
        <w:tab/>
        <w:t>191730 (Комплект изделий, предназначенных для</w:t>
      </w:r>
    </w:p>
    <w:p>
      <w:pPr>
        <w:pStyle w:val="Style20"/>
        <w:widowControl w:val="0"/>
        <w:keepNext w:val="0"/>
        <w:keepLines w:val="0"/>
        <w:shd w:val="clear" w:color="auto" w:fill="auto"/>
        <w:bidi w:val="0"/>
        <w:spacing w:before="0" w:after="0" w:line="341" w:lineRule="exact"/>
        <w:ind w:left="20" w:right="20" w:firstLine="0"/>
      </w:pPr>
      <w:r>
        <w:rPr>
          <w:lang w:val="ru-RU" w:eastAsia="ru-RU" w:bidi="ru-RU"/>
          <w:w w:val="100"/>
          <w:spacing w:val="0"/>
          <w:color w:val="000000"/>
          <w:position w:val="0"/>
        </w:rPr>
        <w:t xml:space="preserve">неинвазивной оценки реакции сердечнососудистой и дыхательной системы пациента на физические нагрузки или для измерения расхода энергии методами непрямой калориметрии. На каждом дыхательном цикле при помощи газоанализаторов регистрируются показатели объема дыхания, потребления кислорода </w:t>
      </w:r>
      <w:r>
        <w:rPr>
          <w:lang w:val="en-US" w:eastAsia="en-US" w:bidi="en-US"/>
          <w:w w:val="100"/>
          <w:spacing w:val="0"/>
          <w:color w:val="000000"/>
          <w:position w:val="0"/>
        </w:rPr>
        <w:t xml:space="preserve">(O2) </w:t>
      </w:r>
      <w:r>
        <w:rPr>
          <w:lang w:val="ru-RU" w:eastAsia="ru-RU" w:bidi="ru-RU"/>
          <w:w w:val="100"/>
          <w:spacing w:val="0"/>
          <w:color w:val="000000"/>
          <w:position w:val="0"/>
        </w:rPr>
        <w:t xml:space="preserve">и выделения диоксида углерода </w:t>
      </w:r>
      <w:r>
        <w:rPr>
          <w:lang w:val="en-US" w:eastAsia="en-US" w:bidi="en-US"/>
          <w:w w:val="100"/>
          <w:spacing w:val="0"/>
          <w:color w:val="000000"/>
          <w:position w:val="0"/>
        </w:rPr>
        <w:t xml:space="preserve">(CO2) </w:t>
      </w:r>
      <w:r>
        <w:rPr>
          <w:lang w:val="ru-RU" w:eastAsia="ru-RU" w:bidi="ru-RU"/>
          <w:w w:val="100"/>
          <w:spacing w:val="0"/>
          <w:color w:val="000000"/>
          <w:position w:val="0"/>
        </w:rPr>
        <w:t>под нагрузкой, а одновременно производится измерение жизненно важных параметров. Во время проведения стресс-теста с помощью конкретного изделия (например, эргометра) пациент надевает маску, капюшон или берет в рот загубник (мундштук) с трубкой отвода к газоанализаторам. Система, как правило, регистрирует показатели функционального состояния [например, дает возможность непрерывного снятия электрокардиограммы (ЭКГ)], обеспечивает контроль нагрузок, позволяет вывести результаты на дисплей или</w:t>
      </w:r>
    </w:p>
    <w:p>
      <w:pPr>
        <w:pStyle w:val="Style20"/>
        <w:widowControl w:val="0"/>
        <w:keepNext w:val="0"/>
        <w:keepLines w:val="0"/>
        <w:shd w:val="clear" w:color="auto" w:fill="auto"/>
        <w:bidi w:val="0"/>
        <w:jc w:val="left"/>
        <w:spacing w:before="0" w:after="0" w:line="341" w:lineRule="exact"/>
        <w:ind w:left="120" w:right="320" w:firstLine="0"/>
      </w:pPr>
      <w:r>
        <w:rPr>
          <w:lang w:val="ru-RU" w:eastAsia="ru-RU" w:bidi="ru-RU"/>
          <w:w w:val="100"/>
          <w:spacing w:val="0"/>
          <w:color w:val="000000"/>
          <w:position w:val="0"/>
        </w:rPr>
        <w:t>распечатать их). При этом такое указание в контракте не противоречит предмету закупки.</w:t>
      </w:r>
    </w:p>
    <w:p>
      <w:pPr>
        <w:pStyle w:val="Style20"/>
        <w:widowControl w:val="0"/>
        <w:keepNext w:val="0"/>
        <w:keepLines w:val="0"/>
        <w:shd w:val="clear" w:color="auto" w:fill="auto"/>
        <w:bidi w:val="0"/>
        <w:spacing w:before="0" w:after="0" w:line="341" w:lineRule="exact"/>
        <w:ind w:left="120" w:right="320" w:firstLine="720"/>
      </w:pPr>
      <w:r>
        <w:rPr>
          <w:lang w:val="ru-RU" w:eastAsia="ru-RU" w:bidi="ru-RU"/>
          <w:w w:val="100"/>
          <w:spacing w:val="0"/>
          <w:color w:val="000000"/>
          <w:position w:val="0"/>
        </w:rPr>
        <w:t>Также в связи с отсутствием в составе заявки наименования поставляемого медицинского изделия аналогичная информация была отражена в приложениях к государственному контракту.</w:t>
      </w:r>
    </w:p>
    <w:p>
      <w:pPr>
        <w:pStyle w:val="Style20"/>
        <w:widowControl w:val="0"/>
        <w:keepNext w:val="0"/>
        <w:keepLines w:val="0"/>
        <w:shd w:val="clear" w:color="auto" w:fill="auto"/>
        <w:bidi w:val="0"/>
        <w:spacing w:before="0" w:after="0" w:line="341" w:lineRule="exact"/>
        <w:ind w:left="120" w:right="320" w:firstLine="720"/>
      </w:pPr>
      <w:r>
        <w:rPr>
          <w:lang w:val="ru-RU" w:eastAsia="ru-RU" w:bidi="ru-RU"/>
          <w:w w:val="100"/>
          <w:spacing w:val="0"/>
          <w:color w:val="000000"/>
          <w:position w:val="0"/>
        </w:rPr>
        <w:t>Вместе с тем Комиссия Управления отмечает, что в силу ч.1 ст.34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20"/>
        <w:widowControl w:val="0"/>
        <w:keepNext w:val="0"/>
        <w:keepLines w:val="0"/>
        <w:shd w:val="clear" w:color="auto" w:fill="auto"/>
        <w:bidi w:val="0"/>
        <w:spacing w:before="0" w:after="232" w:line="341" w:lineRule="exact"/>
        <w:ind w:left="120" w:right="320" w:firstLine="720"/>
      </w:pPr>
      <w:r>
        <w:rPr>
          <w:lang w:val="ru-RU" w:eastAsia="ru-RU" w:bidi="ru-RU"/>
          <w:w w:val="100"/>
          <w:spacing w:val="0"/>
          <w:color w:val="000000"/>
          <w:position w:val="0"/>
        </w:rPr>
        <w:t>При этом как установлено Комиссией Управления управления в составе заявки Заявителя содержится указание на наименование предлагаемого к поставке медицинского оборудования:</w:t>
      </w:r>
    </w:p>
    <w:tbl>
      <w:tblPr>
        <w:tblOverlap w:val="never"/>
        <w:tblLayout w:type="fixed"/>
        <w:jc w:val="center"/>
      </w:tblPr>
      <w:tblGrid>
        <w:gridCol w:w="850"/>
        <w:gridCol w:w="2170"/>
        <w:gridCol w:w="3734"/>
        <w:gridCol w:w="2035"/>
        <w:gridCol w:w="1819"/>
      </w:tblGrid>
      <w:tr>
        <w:trPr>
          <w:trHeight w:val="1632" w:hRule="exact"/>
        </w:trPr>
        <w:tc>
          <w:tcPr>
            <w:shd w:val="clear" w:color="auto" w:fill="FFFFFF"/>
            <w:tcBorders>
              <w:left w:val="single" w:sz="4"/>
              <w:top w:val="single" w:sz="4"/>
            </w:tcBorders>
            <w:vAlign w:val="top"/>
          </w:tcPr>
          <w:p>
            <w:pPr>
              <w:pStyle w:val="Style20"/>
              <w:framePr w:w="10608" w:wrap="notBeside" w:vAnchor="text" w:hAnchor="text" w:xAlign="center" w:y="1"/>
              <w:widowControl w:val="0"/>
              <w:keepNext w:val="0"/>
              <w:keepLines w:val="0"/>
              <w:shd w:val="clear" w:color="auto" w:fill="auto"/>
              <w:bidi w:val="0"/>
              <w:jc w:val="left"/>
              <w:spacing w:before="0" w:after="120" w:line="220" w:lineRule="exact"/>
              <w:ind w:left="120" w:right="0" w:firstLine="0"/>
            </w:pPr>
            <w:r>
              <w:rPr>
                <w:rStyle w:val="CharStyle29"/>
              </w:rPr>
              <w:t>№</w:t>
            </w:r>
          </w:p>
          <w:p>
            <w:pPr>
              <w:pStyle w:val="Style20"/>
              <w:framePr w:w="10608" w:wrap="notBeside" w:vAnchor="text" w:hAnchor="text" w:xAlign="center" w:y="1"/>
              <w:widowControl w:val="0"/>
              <w:keepNext w:val="0"/>
              <w:keepLines w:val="0"/>
              <w:shd w:val="clear" w:color="auto" w:fill="auto"/>
              <w:bidi w:val="0"/>
              <w:jc w:val="left"/>
              <w:spacing w:before="120" w:after="0" w:line="220" w:lineRule="exact"/>
              <w:ind w:left="120" w:right="0" w:firstLine="0"/>
            </w:pPr>
            <w:r>
              <w:rPr>
                <w:rStyle w:val="CharStyle29"/>
              </w:rPr>
              <w:t>п.п.</w:t>
            </w:r>
          </w:p>
        </w:tc>
        <w:tc>
          <w:tcPr>
            <w:shd w:val="clear" w:color="auto" w:fill="FFFFFF"/>
            <w:tcBorders>
              <w:left w:val="single" w:sz="4"/>
              <w:top w:val="single" w:sz="4"/>
            </w:tcBorders>
            <w:vAlign w:val="top"/>
          </w:tcPr>
          <w:p>
            <w:pPr>
              <w:pStyle w:val="Style20"/>
              <w:framePr w:w="10608"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29"/>
              </w:rPr>
              <w:t>Наименование</w:t>
            </w:r>
          </w:p>
          <w:p>
            <w:pPr>
              <w:pStyle w:val="Style20"/>
              <w:framePr w:w="10608"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29"/>
              </w:rPr>
              <w:t>предлагаемого</w:t>
            </w:r>
          </w:p>
          <w:p>
            <w:pPr>
              <w:pStyle w:val="Style20"/>
              <w:framePr w:w="10608"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29"/>
              </w:rPr>
              <w:t>товара</w:t>
            </w:r>
          </w:p>
        </w:tc>
        <w:tc>
          <w:tcPr>
            <w:shd w:val="clear" w:color="auto" w:fill="FFFFFF"/>
            <w:tcBorders>
              <w:left w:val="single" w:sz="4"/>
              <w:top w:val="single" w:sz="4"/>
            </w:tcBorders>
            <w:vAlign w:val="top"/>
          </w:tcPr>
          <w:p>
            <w:pPr>
              <w:pStyle w:val="Style20"/>
              <w:framePr w:w="10608"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29"/>
              </w:rPr>
              <w:t>№ Регистрационного удостоверения, название медицинского изделия в соответствии с регистрационным удостоверением</w:t>
            </w:r>
          </w:p>
        </w:tc>
        <w:tc>
          <w:tcPr>
            <w:shd w:val="clear" w:color="auto" w:fill="FFFFFF"/>
            <w:tcBorders>
              <w:left w:val="single" w:sz="4"/>
              <w:top w:val="single" w:sz="4"/>
            </w:tcBorders>
            <w:vAlign w:val="top"/>
          </w:tcPr>
          <w:p>
            <w:pPr>
              <w:pStyle w:val="Style20"/>
              <w:framePr w:w="10608"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29"/>
              </w:rPr>
              <w:t>Сведения о производителе</w:t>
            </w:r>
          </w:p>
        </w:tc>
        <w:tc>
          <w:tcPr>
            <w:shd w:val="clear" w:color="auto" w:fill="FFFFFF"/>
            <w:tcBorders>
              <w:left w:val="single" w:sz="4"/>
              <w:right w:val="single" w:sz="4"/>
              <w:top w:val="single" w:sz="4"/>
            </w:tcBorders>
            <w:vAlign w:val="top"/>
          </w:tcPr>
          <w:p>
            <w:pPr>
              <w:pStyle w:val="Style20"/>
              <w:framePr w:w="10608" w:wrap="notBeside" w:vAnchor="text" w:hAnchor="text" w:xAlign="center" w:y="1"/>
              <w:widowControl w:val="0"/>
              <w:keepNext w:val="0"/>
              <w:keepLines w:val="0"/>
              <w:shd w:val="clear" w:color="auto" w:fill="auto"/>
              <w:bidi w:val="0"/>
              <w:jc w:val="left"/>
              <w:spacing w:before="0" w:after="120" w:line="220" w:lineRule="exact"/>
              <w:ind w:left="120" w:right="0" w:firstLine="0"/>
            </w:pPr>
            <w:r>
              <w:rPr>
                <w:rStyle w:val="CharStyle29"/>
              </w:rPr>
              <w:t>Страна</w:t>
            </w:r>
          </w:p>
          <w:p>
            <w:pPr>
              <w:pStyle w:val="Style20"/>
              <w:framePr w:w="10608" w:wrap="notBeside" w:vAnchor="text" w:hAnchor="text" w:xAlign="center" w:y="1"/>
              <w:widowControl w:val="0"/>
              <w:keepNext w:val="0"/>
              <w:keepLines w:val="0"/>
              <w:shd w:val="clear" w:color="auto" w:fill="auto"/>
              <w:bidi w:val="0"/>
              <w:jc w:val="left"/>
              <w:spacing w:before="120" w:after="0" w:line="220" w:lineRule="exact"/>
              <w:ind w:left="120" w:right="0" w:firstLine="0"/>
            </w:pPr>
            <w:r>
              <w:rPr>
                <w:rStyle w:val="CharStyle29"/>
              </w:rPr>
              <w:t>происхождения</w:t>
            </w:r>
          </w:p>
        </w:tc>
      </w:tr>
      <w:tr>
        <w:trPr>
          <w:trHeight w:val="2971" w:hRule="exact"/>
        </w:trPr>
        <w:tc>
          <w:tcPr>
            <w:shd w:val="clear" w:color="auto" w:fill="FFFFFF"/>
            <w:tcBorders>
              <w:left w:val="single" w:sz="4"/>
              <w:top w:val="single" w:sz="4"/>
              <w:bottom w:val="single" w:sz="4"/>
            </w:tcBorders>
            <w:vAlign w:val="top"/>
          </w:tcPr>
          <w:p>
            <w:pPr>
              <w:pStyle w:val="Style20"/>
              <w:framePr w:w="1060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9"/>
              </w:rPr>
              <w:t>1.</w:t>
            </w:r>
          </w:p>
        </w:tc>
        <w:tc>
          <w:tcPr>
            <w:shd w:val="clear" w:color="auto" w:fill="FFFFFF"/>
            <w:tcBorders>
              <w:left w:val="single" w:sz="4"/>
              <w:top w:val="single" w:sz="4"/>
              <w:bottom w:val="single" w:sz="4"/>
            </w:tcBorders>
            <w:vAlign w:val="top"/>
          </w:tcPr>
          <w:p>
            <w:pPr>
              <w:pStyle w:val="Style20"/>
              <w:framePr w:w="10608"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29"/>
              </w:rPr>
              <w:t>Комплекс</w:t>
            </w:r>
          </w:p>
          <w:p>
            <w:pPr>
              <w:pStyle w:val="Style20"/>
              <w:framePr w:w="10608"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29"/>
              </w:rPr>
              <w:t>аппаратно</w:t>
              <w:softHyphen/>
            </w:r>
          </w:p>
          <w:p>
            <w:pPr>
              <w:pStyle w:val="Style20"/>
              <w:framePr w:w="10608"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29"/>
              </w:rPr>
              <w:t>программный</w:t>
            </w:r>
          </w:p>
          <w:p>
            <w:pPr>
              <w:pStyle w:val="Style20"/>
              <w:framePr w:w="10608"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29"/>
              </w:rPr>
              <w:t>анализа</w:t>
            </w:r>
          </w:p>
          <w:p>
            <w:pPr>
              <w:pStyle w:val="Style20"/>
              <w:framePr w:w="10608"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29"/>
              </w:rPr>
              <w:t>электрокардиогра мм «МИОКАРД- 12», опция «нагрузочные пробы»</w:t>
            </w:r>
          </w:p>
        </w:tc>
        <w:tc>
          <w:tcPr>
            <w:shd w:val="clear" w:color="auto" w:fill="FFFFFF"/>
            <w:tcBorders>
              <w:left w:val="single" w:sz="4"/>
              <w:top w:val="single" w:sz="4"/>
              <w:bottom w:val="single" w:sz="4"/>
            </w:tcBorders>
            <w:vAlign w:val="top"/>
          </w:tcPr>
          <w:p>
            <w:pPr>
              <w:pStyle w:val="Style20"/>
              <w:framePr w:w="10608" w:wrap="notBeside" w:vAnchor="text" w:hAnchor="text" w:xAlign="center" w:y="1"/>
              <w:widowControl w:val="0"/>
              <w:keepNext w:val="0"/>
              <w:keepLines w:val="0"/>
              <w:shd w:val="clear" w:color="auto" w:fill="auto"/>
              <w:bidi w:val="0"/>
              <w:spacing w:before="0" w:after="120" w:line="293" w:lineRule="exact"/>
              <w:ind w:left="0" w:right="0" w:firstLine="0"/>
            </w:pPr>
            <w:r>
              <w:rPr>
                <w:rStyle w:val="CharStyle29"/>
              </w:rPr>
              <w:t>Регистрационное Удостоверение на медицинское изделие № ФСР 2010/09100 от 29.04.2016г.</w:t>
            </w:r>
          </w:p>
          <w:p>
            <w:pPr>
              <w:pStyle w:val="Style20"/>
              <w:framePr w:w="10608" w:wrap="notBeside" w:vAnchor="text" w:hAnchor="text" w:xAlign="center" w:y="1"/>
              <w:widowControl w:val="0"/>
              <w:keepNext w:val="0"/>
              <w:keepLines w:val="0"/>
              <w:shd w:val="clear" w:color="auto" w:fill="auto"/>
              <w:bidi w:val="0"/>
              <w:jc w:val="left"/>
              <w:spacing w:before="120" w:after="0" w:line="293" w:lineRule="exact"/>
              <w:ind w:left="120" w:right="0" w:firstLine="0"/>
            </w:pPr>
            <w:r>
              <w:rPr>
                <w:rStyle w:val="CharStyle29"/>
              </w:rPr>
              <w:t>Наименование:</w:t>
            </w:r>
          </w:p>
          <w:p>
            <w:pPr>
              <w:pStyle w:val="Style20"/>
              <w:framePr w:w="10608" w:wrap="notBeside" w:vAnchor="text" w:hAnchor="text" w:xAlign="center" w:y="1"/>
              <w:widowControl w:val="0"/>
              <w:keepNext w:val="0"/>
              <w:keepLines w:val="0"/>
              <w:shd w:val="clear" w:color="auto" w:fill="auto"/>
              <w:bidi w:val="0"/>
              <w:jc w:val="left"/>
              <w:spacing w:before="0" w:after="0" w:line="293" w:lineRule="exact"/>
              <w:ind w:left="120" w:right="0" w:firstLine="0"/>
            </w:pPr>
            <w:r>
              <w:rPr>
                <w:rStyle w:val="CharStyle29"/>
              </w:rPr>
              <w:t>Комплекс аппаратно</w:t>
              <w:softHyphen/>
              <w:t>программный анализа электрокардиограмм «МИОКАРД-12» по ТУ 9441-001</w:t>
              <w:softHyphen/>
              <w:t>25692097-2002</w:t>
            </w:r>
          </w:p>
        </w:tc>
        <w:tc>
          <w:tcPr>
            <w:shd w:val="clear" w:color="auto" w:fill="FFFFFF"/>
            <w:tcBorders>
              <w:left w:val="single" w:sz="4"/>
              <w:top w:val="single" w:sz="4"/>
              <w:bottom w:val="single" w:sz="4"/>
            </w:tcBorders>
            <w:vAlign w:val="top"/>
          </w:tcPr>
          <w:p>
            <w:pPr>
              <w:pStyle w:val="Style20"/>
              <w:framePr w:w="10608"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29"/>
              </w:rPr>
              <w:t>ООО «НИМП ЕСН»</w:t>
            </w:r>
          </w:p>
        </w:tc>
        <w:tc>
          <w:tcPr>
            <w:shd w:val="clear" w:color="auto" w:fill="FFFFFF"/>
            <w:tcBorders>
              <w:left w:val="single" w:sz="4"/>
              <w:right w:val="single" w:sz="4"/>
              <w:top w:val="single" w:sz="4"/>
              <w:bottom w:val="single" w:sz="4"/>
            </w:tcBorders>
            <w:vAlign w:val="top"/>
          </w:tcPr>
          <w:p>
            <w:pPr>
              <w:pStyle w:val="Style20"/>
              <w:framePr w:w="1060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9"/>
              </w:rPr>
              <w:t>РФ</w:t>
            </w:r>
          </w:p>
        </w:tc>
      </w:tr>
    </w:tbl>
    <w:p>
      <w:pPr>
        <w:widowControl w:val="0"/>
        <w:rPr>
          <w:sz w:val="2"/>
          <w:szCs w:val="2"/>
        </w:rPr>
      </w:pPr>
    </w:p>
    <w:p>
      <w:pPr>
        <w:pStyle w:val="Style20"/>
        <w:tabs>
          <w:tab w:leader="none" w:pos="936" w:val="left"/>
          <w:tab w:leader="none" w:pos="3446" w:val="right"/>
          <w:tab w:leader="none" w:pos="3514" w:val="left"/>
          <w:tab w:leader="none" w:pos="10306" w:val="right"/>
        </w:tabs>
        <w:widowControl w:val="0"/>
        <w:keepNext w:val="0"/>
        <w:keepLines w:val="0"/>
        <w:shd w:val="clear" w:color="auto" w:fill="auto"/>
        <w:bidi w:val="0"/>
        <w:spacing w:before="235" w:after="0"/>
        <w:ind w:left="120" w:right="320" w:firstLine="720"/>
      </w:pPr>
      <w:r>
        <w:rPr>
          <w:lang w:val="ru-RU" w:eastAsia="ru-RU" w:bidi="ru-RU"/>
          <w:w w:val="100"/>
          <w:spacing w:val="0"/>
          <w:color w:val="000000"/>
          <w:position w:val="0"/>
        </w:rPr>
        <w:t>Таким образом, с учетом положений ч.1 ст. 34 Закона о контрактной системе данная информация должна была быть включена Заказчиком в государственный контракт и ее отсутствие свидетельствует о нарушении Заказчиком положений п.3 ч.4 ст.51 Закона о контрактной системе, что также содержит признаки состава административного правонарушения, ответственность за которое предусмотрена</w:t>
      </w:r>
    </w:p>
    <w:p>
      <w:pPr>
        <w:pStyle w:val="Style20"/>
        <w:numPr>
          <w:ilvl w:val="0"/>
          <w:numId w:val="1"/>
        </w:numPr>
        <w:tabs>
          <w:tab w:leader="none" w:pos="938" w:val="left"/>
          <w:tab w:leader="none" w:pos="3446" w:val="right"/>
          <w:tab w:leader="none" w:pos="3591" w:val="left"/>
          <w:tab w:leader="none" w:pos="10306" w:val="right"/>
          <w:tab w:leader="none" w:pos="941" w:val="lef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ст.7.32</w:t>
        <w:tab/>
        <w:t>Кодекса</w:t>
        <w:tab/>
        <w:t>Российской Федерации об</w:t>
        <w:tab/>
        <w:t>административных</w:t>
      </w:r>
    </w:p>
    <w:p>
      <w:pPr>
        <w:pStyle w:val="Style20"/>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правонарушениях.</w:t>
      </w:r>
    </w:p>
    <w:p>
      <w:pPr>
        <w:pStyle w:val="Style20"/>
        <w:widowControl w:val="0"/>
        <w:keepNext w:val="0"/>
        <w:keepLines w:val="0"/>
        <w:shd w:val="clear" w:color="auto" w:fill="auto"/>
        <w:bidi w:val="0"/>
        <w:spacing w:before="0" w:after="0"/>
        <w:ind w:left="120" w:right="320" w:firstLine="720"/>
      </w:pPr>
      <w:r>
        <w:rPr>
          <w:lang w:val="ru-RU" w:eastAsia="ru-RU" w:bidi="ru-RU"/>
          <w:w w:val="100"/>
          <w:spacing w:val="0"/>
          <w:color w:val="000000"/>
          <w:position w:val="0"/>
        </w:rPr>
        <w:t>Также в составе жалобы Заявитель указывает, что Заказчиком в государственный контракт не включена информация о комплектации предлагаемого к поставке оборудования:</w:t>
      </w:r>
    </w:p>
    <w:tbl>
      <w:tblPr>
        <w:tblOverlap w:val="never"/>
        <w:tblLayout w:type="fixed"/>
        <w:jc w:val="center"/>
      </w:tblPr>
      <w:tblGrid>
        <w:gridCol w:w="1277"/>
        <w:gridCol w:w="7632"/>
        <w:gridCol w:w="1363"/>
      </w:tblGrid>
      <w:tr>
        <w:trPr>
          <w:trHeight w:val="571" w:hRule="exact"/>
        </w:trPr>
        <w:tc>
          <w:tcPr>
            <w:shd w:val="clear" w:color="auto" w:fill="FFFFFF"/>
            <w:tcBorders>
              <w:left w:val="single" w:sz="4"/>
              <w:top w:val="single" w:sz="4"/>
            </w:tcBorders>
            <w:vAlign w:val="top"/>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 п.п.</w:t>
            </w:r>
          </w:p>
        </w:tc>
        <w:tc>
          <w:tcPr>
            <w:shd w:val="clear" w:color="auto" w:fill="FFFFFF"/>
            <w:tcBorders>
              <w:left w:val="single" w:sz="4"/>
              <w:top w:val="single" w:sz="4"/>
            </w:tcBorders>
            <w:vAlign w:val="top"/>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9"/>
              </w:rPr>
              <w:t>Наименование</w:t>
            </w:r>
          </w:p>
        </w:tc>
        <w:tc>
          <w:tcPr>
            <w:shd w:val="clear" w:color="auto" w:fill="FFFFFF"/>
            <w:tcBorders>
              <w:left w:val="single" w:sz="4"/>
              <w:righ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83" w:lineRule="exact"/>
              <w:ind w:left="140" w:right="0" w:firstLine="0"/>
            </w:pPr>
            <w:r>
              <w:rPr>
                <w:rStyle w:val="CharStyle29"/>
              </w:rPr>
              <w:t>Количеств о, шт.</w:t>
            </w:r>
          </w:p>
        </w:tc>
      </w:tr>
      <w:tr>
        <w:trPr>
          <w:trHeight w:val="835" w:hRule="exact"/>
        </w:trPr>
        <w:tc>
          <w:tcPr>
            <w:shd w:val="clear" w:color="auto" w:fill="FFFFFF"/>
            <w:tcBorders>
              <w:left w:val="single" w:sz="4"/>
              <w:top w:val="single" w:sz="4"/>
            </w:tcBorders>
            <w:vAlign w:val="top"/>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w:t>
            </w:r>
          </w:p>
        </w:tc>
        <w:tc>
          <w:tcPr>
            <w:shd w:val="clear" w:color="auto" w:fill="FFFFFF"/>
            <w:tcBorders>
              <w:lef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78" w:lineRule="exact"/>
              <w:ind w:left="100" w:right="0" w:firstLine="0"/>
            </w:pPr>
            <w:r>
              <w:rPr>
                <w:rStyle w:val="CharStyle29"/>
              </w:rPr>
              <w:t>Комплекс аппаратно-программный анализа электрокардиограмм «МИОКАРД-12», опция «нагрузочные пробы», в составе:</w:t>
            </w:r>
          </w:p>
        </w:tc>
        <w:tc>
          <w:tcPr>
            <w:shd w:val="clear" w:color="auto" w:fill="FFFFFF"/>
            <w:tcBorders>
              <w:left w:val="single" w:sz="4"/>
              <w:right w:val="single" w:sz="4"/>
              <w:top w:val="single" w:sz="4"/>
            </w:tcBorders>
            <w:vAlign w:val="top"/>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w:t>
            </w:r>
          </w:p>
        </w:tc>
      </w:tr>
      <w:tr>
        <w:trPr>
          <w:trHeight w:val="283" w:hRule="exact"/>
        </w:trPr>
        <w:tc>
          <w:tcPr>
            <w:shd w:val="clear" w:color="auto" w:fill="FFFFFF"/>
            <w:tcBorders>
              <w:lef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1.1.</w:t>
            </w:r>
          </w:p>
        </w:tc>
        <w:tc>
          <w:tcPr>
            <w:shd w:val="clear" w:color="auto" w:fill="FFFFFF"/>
            <w:tcBorders>
              <w:lef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9"/>
              </w:rPr>
              <w:t xml:space="preserve">Кардиомодуль КМ-4 </w:t>
            </w:r>
            <w:r>
              <w:rPr>
                <w:rStyle w:val="CharStyle29"/>
                <w:lang w:val="en-US" w:eastAsia="en-US" w:bidi="en-US"/>
              </w:rPr>
              <w:t>USB</w:t>
            </w:r>
          </w:p>
        </w:tc>
        <w:tc>
          <w:tcPr>
            <w:shd w:val="clear" w:color="auto" w:fill="FFFFFF"/>
            <w:tcBorders>
              <w:left w:val="single" w:sz="4"/>
              <w:righ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w:t>
            </w:r>
          </w:p>
        </w:tc>
      </w:tr>
      <w:tr>
        <w:trPr>
          <w:trHeight w:val="288" w:hRule="exact"/>
        </w:trPr>
        <w:tc>
          <w:tcPr>
            <w:shd w:val="clear" w:color="auto" w:fill="FFFFFF"/>
            <w:tcBorders>
              <w:lef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1.2.</w:t>
            </w:r>
          </w:p>
        </w:tc>
        <w:tc>
          <w:tcPr>
            <w:shd w:val="clear" w:color="auto" w:fill="FFFFFF"/>
            <w:tcBorders>
              <w:left w:val="single" w:sz="4"/>
              <w:top w:val="single" w:sz="4"/>
            </w:tcBorders>
            <w:vAlign w:val="center"/>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9"/>
              </w:rPr>
              <w:t>Кабель отведений</w:t>
            </w:r>
          </w:p>
        </w:tc>
        <w:tc>
          <w:tcPr>
            <w:shd w:val="clear" w:color="auto" w:fill="FFFFFF"/>
            <w:tcBorders>
              <w:left w:val="single" w:sz="4"/>
              <w:righ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w:t>
            </w:r>
          </w:p>
        </w:tc>
      </w:tr>
      <w:tr>
        <w:trPr>
          <w:trHeight w:val="283" w:hRule="exact"/>
        </w:trPr>
        <w:tc>
          <w:tcPr>
            <w:shd w:val="clear" w:color="auto" w:fill="FFFFFF"/>
            <w:tcBorders>
              <w:lef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1.3.</w:t>
            </w:r>
          </w:p>
        </w:tc>
        <w:tc>
          <w:tcPr>
            <w:shd w:val="clear" w:color="auto" w:fill="FFFFFF"/>
            <w:tcBorders>
              <w:lef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9"/>
              </w:rPr>
              <w:t>Переходники на одноразовые электроды</w:t>
            </w:r>
          </w:p>
        </w:tc>
        <w:tc>
          <w:tcPr>
            <w:shd w:val="clear" w:color="auto" w:fill="FFFFFF"/>
            <w:tcBorders>
              <w:left w:val="single" w:sz="4"/>
              <w:righ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10</w:t>
            </w:r>
          </w:p>
        </w:tc>
      </w:tr>
      <w:tr>
        <w:trPr>
          <w:trHeight w:val="283" w:hRule="exact"/>
        </w:trPr>
        <w:tc>
          <w:tcPr>
            <w:shd w:val="clear" w:color="auto" w:fill="FFFFFF"/>
            <w:tcBorders>
              <w:lef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1.4.</w:t>
            </w:r>
          </w:p>
        </w:tc>
        <w:tc>
          <w:tcPr>
            <w:shd w:val="clear" w:color="auto" w:fill="FFFFFF"/>
            <w:tcBorders>
              <w:lef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9"/>
              </w:rPr>
              <w:t>Руководство по эксплуатации на русском языке</w:t>
            </w:r>
          </w:p>
        </w:tc>
        <w:tc>
          <w:tcPr>
            <w:shd w:val="clear" w:color="auto" w:fill="FFFFFF"/>
            <w:tcBorders>
              <w:left w:val="single" w:sz="4"/>
              <w:righ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w:t>
            </w:r>
          </w:p>
        </w:tc>
      </w:tr>
      <w:tr>
        <w:trPr>
          <w:trHeight w:val="288" w:hRule="exact"/>
        </w:trPr>
        <w:tc>
          <w:tcPr>
            <w:shd w:val="clear" w:color="auto" w:fill="FFFFFF"/>
            <w:tcBorders>
              <w:lef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1.5.</w:t>
            </w:r>
          </w:p>
        </w:tc>
        <w:tc>
          <w:tcPr>
            <w:shd w:val="clear" w:color="auto" w:fill="FFFFFF"/>
            <w:tcBorders>
              <w:lef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9"/>
              </w:rPr>
              <w:t>СД-диск с программным обеспечением</w:t>
            </w:r>
          </w:p>
        </w:tc>
        <w:tc>
          <w:tcPr>
            <w:shd w:val="clear" w:color="auto" w:fill="FFFFFF"/>
            <w:tcBorders>
              <w:left w:val="single" w:sz="4"/>
              <w:righ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w:t>
            </w:r>
          </w:p>
        </w:tc>
      </w:tr>
      <w:tr>
        <w:trPr>
          <w:trHeight w:val="566" w:hRule="exact"/>
        </w:trPr>
        <w:tc>
          <w:tcPr>
            <w:shd w:val="clear" w:color="auto" w:fill="FFFFFF"/>
            <w:tcBorders>
              <w:left w:val="single" w:sz="4"/>
              <w:top w:val="single" w:sz="4"/>
            </w:tcBorders>
            <w:vAlign w:val="center"/>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1.6.</w:t>
            </w:r>
          </w:p>
        </w:tc>
        <w:tc>
          <w:tcPr>
            <w:shd w:val="clear" w:color="auto" w:fill="FFFFFF"/>
            <w:tcBorders>
              <w:left w:val="single" w:sz="4"/>
              <w:top w:val="single" w:sz="4"/>
            </w:tcBorders>
            <w:vAlign w:val="top"/>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9"/>
              </w:rPr>
              <w:t>Одноразовые электроды</w:t>
            </w:r>
          </w:p>
        </w:tc>
        <w:tc>
          <w:tcPr>
            <w:shd w:val="clear" w:color="auto" w:fill="FFFFFF"/>
            <w:tcBorders>
              <w:left w:val="single" w:sz="4"/>
              <w:righ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74" w:lineRule="exact"/>
              <w:ind w:left="140" w:right="0" w:firstLine="0"/>
            </w:pPr>
            <w:r>
              <w:rPr>
                <w:rStyle w:val="CharStyle29"/>
              </w:rPr>
              <w:t>100 (1 упаковка)</w:t>
            </w:r>
          </w:p>
        </w:tc>
      </w:tr>
      <w:tr>
        <w:trPr>
          <w:trHeight w:val="283" w:hRule="exact"/>
        </w:trPr>
        <w:tc>
          <w:tcPr>
            <w:shd w:val="clear" w:color="auto" w:fill="FFFFFF"/>
            <w:tcBorders>
              <w:lef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1.7.</w:t>
            </w:r>
          </w:p>
        </w:tc>
        <w:tc>
          <w:tcPr>
            <w:shd w:val="clear" w:color="auto" w:fill="FFFFFF"/>
            <w:tcBorders>
              <w:lef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9"/>
              </w:rPr>
              <w:t>АРМ врача (Китай)</w:t>
            </w:r>
          </w:p>
        </w:tc>
        <w:tc>
          <w:tcPr>
            <w:shd w:val="clear" w:color="auto" w:fill="FFFFFF"/>
            <w:tcBorders>
              <w:left w:val="single" w:sz="4"/>
              <w:righ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w:t>
            </w:r>
          </w:p>
        </w:tc>
      </w:tr>
      <w:tr>
        <w:trPr>
          <w:trHeight w:val="283" w:hRule="exact"/>
        </w:trPr>
        <w:tc>
          <w:tcPr>
            <w:shd w:val="clear" w:color="auto" w:fill="FFFFFF"/>
            <w:tcBorders>
              <w:lef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1.8.</w:t>
            </w:r>
          </w:p>
        </w:tc>
        <w:tc>
          <w:tcPr>
            <w:shd w:val="clear" w:color="auto" w:fill="FFFFFF"/>
            <w:tcBorders>
              <w:lef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9"/>
              </w:rPr>
              <w:t>Принтер (Китай / Филлипины)</w:t>
            </w:r>
          </w:p>
        </w:tc>
        <w:tc>
          <w:tcPr>
            <w:shd w:val="clear" w:color="auto" w:fill="FFFFFF"/>
            <w:tcBorders>
              <w:left w:val="single" w:sz="4"/>
              <w:right w:val="single" w:sz="4"/>
              <w:top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w:t>
            </w:r>
          </w:p>
        </w:tc>
      </w:tr>
      <w:tr>
        <w:trPr>
          <w:trHeight w:val="298" w:hRule="exact"/>
        </w:trPr>
        <w:tc>
          <w:tcPr>
            <w:shd w:val="clear" w:color="auto" w:fill="FFFFFF"/>
            <w:tcBorders>
              <w:left w:val="single" w:sz="4"/>
              <w:top w:val="single" w:sz="4"/>
              <w:bottom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1.9.</w:t>
            </w:r>
          </w:p>
        </w:tc>
        <w:tc>
          <w:tcPr>
            <w:shd w:val="clear" w:color="auto" w:fill="FFFFFF"/>
            <w:tcBorders>
              <w:left w:val="single" w:sz="4"/>
              <w:top w:val="single" w:sz="4"/>
              <w:bottom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9"/>
              </w:rPr>
              <w:t xml:space="preserve">Велоэргометр </w:t>
            </w:r>
            <w:r>
              <w:rPr>
                <w:rStyle w:val="CharStyle29"/>
                <w:lang w:val="en-US" w:eastAsia="en-US" w:bidi="en-US"/>
              </w:rPr>
              <w:t xml:space="preserve">Coreval LODE </w:t>
            </w:r>
            <w:r>
              <w:rPr>
                <w:rStyle w:val="CharStyle29"/>
              </w:rPr>
              <w:t>(Нидерланды)</w:t>
            </w:r>
          </w:p>
        </w:tc>
        <w:tc>
          <w:tcPr>
            <w:shd w:val="clear" w:color="auto" w:fill="FFFFFF"/>
            <w:tcBorders>
              <w:left w:val="single" w:sz="4"/>
              <w:right w:val="single" w:sz="4"/>
              <w:top w:val="single" w:sz="4"/>
              <w:bottom w:val="single" w:sz="4"/>
            </w:tcBorders>
            <w:vAlign w:val="bottom"/>
          </w:tcPr>
          <w:p>
            <w:pPr>
              <w:pStyle w:val="Style20"/>
              <w:framePr w:w="10272"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29"/>
              </w:rPr>
              <w:t>1</w:t>
            </w:r>
          </w:p>
        </w:tc>
      </w:tr>
    </w:tbl>
    <w:p>
      <w:pPr>
        <w:widowControl w:val="0"/>
        <w:rPr>
          <w:sz w:val="2"/>
          <w:szCs w:val="2"/>
        </w:rPr>
      </w:pPr>
    </w:p>
    <w:p>
      <w:pPr>
        <w:pStyle w:val="Style20"/>
        <w:widowControl w:val="0"/>
        <w:keepNext w:val="0"/>
        <w:keepLines w:val="0"/>
        <w:shd w:val="clear" w:color="auto" w:fill="auto"/>
        <w:bidi w:val="0"/>
        <w:spacing w:before="240" w:after="0"/>
        <w:ind w:left="120" w:right="20" w:firstLine="740"/>
      </w:pPr>
      <w:r>
        <w:rPr>
          <w:lang w:val="ru-RU" w:eastAsia="ru-RU" w:bidi="ru-RU"/>
          <w:w w:val="100"/>
          <w:spacing w:val="0"/>
          <w:color w:val="000000"/>
          <w:position w:val="0"/>
        </w:rPr>
        <w:t>Кроме того, в государственный контракт не включена информация, что в состав комплектации не входит маска, капюшон, загубник и газоанализатор. Таким образом Заказчиком направлен государственный контракт не соответствующий документации и заявки победителя аукциона.</w:t>
      </w:r>
    </w:p>
    <w:p>
      <w:pPr>
        <w:pStyle w:val="Style20"/>
        <w:widowControl w:val="0"/>
        <w:keepNext w:val="0"/>
        <w:keepLines w:val="0"/>
        <w:shd w:val="clear" w:color="auto" w:fill="auto"/>
        <w:bidi w:val="0"/>
        <w:spacing w:before="0" w:after="0"/>
        <w:ind w:left="120" w:right="20" w:firstLine="740"/>
      </w:pPr>
      <w:r>
        <w:rPr>
          <w:lang w:val="ru-RU" w:eastAsia="ru-RU" w:bidi="ru-RU"/>
          <w:w w:val="100"/>
          <w:spacing w:val="0"/>
          <w:color w:val="000000"/>
          <w:position w:val="0"/>
        </w:rPr>
        <w:t>В отношении невключения в состав контракта дополнительной информации о комплектации предлагаемого оборудования представитель Заказчика пояснил, что сведения о комплектакции, а именно «В состав комплектации не входит маска, капюшон, загубник и газоанализатор», указаны Заявителем дополнительно, при этом положения технической части документации не содержат описания закупаемого оборудования в части состава комплекта. Таким образом при направлении проекта государственного контракта Заказчиком включаются сведения о товаре, которые отражены в технической части документации, в связи с чем включение иных сведений в контракт может противоречить требованиям ч. 1 ст. 34 Закона о контрактной системе.</w:t>
      </w:r>
    </w:p>
    <w:p>
      <w:pPr>
        <w:pStyle w:val="Style20"/>
        <w:widowControl w:val="0"/>
        <w:keepNext w:val="0"/>
        <w:keepLines w:val="0"/>
        <w:shd w:val="clear" w:color="auto" w:fill="auto"/>
        <w:bidi w:val="0"/>
        <w:spacing w:before="0" w:after="0"/>
        <w:ind w:left="120" w:right="20" w:firstLine="740"/>
      </w:pPr>
      <w:r>
        <w:rPr>
          <w:lang w:val="ru-RU" w:eastAsia="ru-RU" w:bidi="ru-RU"/>
          <w:w w:val="100"/>
          <w:spacing w:val="0"/>
          <w:color w:val="000000"/>
          <w:position w:val="0"/>
        </w:rPr>
        <w:t xml:space="preserve">Вместе с тем, Заказчик обратил особое внимание, что объектом закупки является система мониторинга показателей при проведении сердечно-легочного стресс-теста с нагрузкой - это комплект изделий, предназначенных для неинвазивной оценки реакции сердечнососудистой и дыхательной системы пациента на физические нагрузки или для измерения расхода энергии методами непрямой калориметрии. На каждом дыхательном цикле при помощи газоанализаторов регистрируются показатели объема дыхания, потребления кислорода </w:t>
      </w:r>
      <w:r>
        <w:rPr>
          <w:lang w:val="en-US" w:eastAsia="en-US" w:bidi="en-US"/>
          <w:w w:val="100"/>
          <w:spacing w:val="0"/>
          <w:color w:val="000000"/>
          <w:position w:val="0"/>
        </w:rPr>
        <w:t xml:space="preserve">(O2) </w:t>
      </w:r>
      <w:r>
        <w:rPr>
          <w:lang w:val="ru-RU" w:eastAsia="ru-RU" w:bidi="ru-RU"/>
          <w:w w:val="100"/>
          <w:spacing w:val="0"/>
          <w:color w:val="000000"/>
          <w:position w:val="0"/>
        </w:rPr>
        <w:t xml:space="preserve">и выделения диоксида углерода </w:t>
      </w:r>
      <w:r>
        <w:rPr>
          <w:lang w:val="en-US" w:eastAsia="en-US" w:bidi="en-US"/>
          <w:w w:val="100"/>
          <w:spacing w:val="0"/>
          <w:color w:val="000000"/>
          <w:position w:val="0"/>
        </w:rPr>
        <w:t xml:space="preserve">(CO2) </w:t>
      </w:r>
      <w:r>
        <w:rPr>
          <w:lang w:val="ru-RU" w:eastAsia="ru-RU" w:bidi="ru-RU"/>
          <w:w w:val="100"/>
          <w:spacing w:val="0"/>
          <w:color w:val="000000"/>
          <w:position w:val="0"/>
        </w:rPr>
        <w:t>под нагрузкой, а одновременно производится измерение жизненно важных параметров. Во время проведения стресс-теста с помо</w:t>
      </w:r>
      <w:r>
        <w:rPr>
          <w:rStyle w:val="CharStyle26"/>
        </w:rPr>
        <w:t>щь</w:t>
      </w:r>
      <w:r>
        <w:rPr>
          <w:lang w:val="ru-RU" w:eastAsia="ru-RU" w:bidi="ru-RU"/>
          <w:w w:val="100"/>
          <w:spacing w:val="0"/>
          <w:color w:val="000000"/>
          <w:position w:val="0"/>
        </w:rPr>
        <w:t>ю конкретного изделия (например, эргометра) пациент надевает маску, капюшон или берет в рот загубник (мундштук) с трубкой отвода к газоанализаторам. Система, как правило, регистрирует показатели функционального состояния [например, дает возможность непрерывного снятия электрокардиограммы (ЭКГ)], обеспечивает контроль нагрузок, позволяет вывести результаты на дисплей или распечатать их.</w:t>
      </w:r>
    </w:p>
    <w:p>
      <w:pPr>
        <w:pStyle w:val="Style20"/>
        <w:widowControl w:val="0"/>
        <w:keepNext w:val="0"/>
        <w:keepLines w:val="0"/>
        <w:shd w:val="clear" w:color="auto" w:fill="auto"/>
        <w:bidi w:val="0"/>
        <w:spacing w:before="0" w:after="0"/>
        <w:ind w:left="120" w:right="20" w:firstLine="740"/>
      </w:pPr>
      <w:r>
        <w:rPr>
          <w:lang w:val="ru-RU" w:eastAsia="ru-RU" w:bidi="ru-RU"/>
          <w:w w:val="100"/>
          <w:spacing w:val="0"/>
          <w:color w:val="000000"/>
          <w:position w:val="0"/>
        </w:rPr>
        <w:t>Таким образом, газоанализатор является составной частью Системы мониторинга показателей при проведении сердечно-легочного стресс-теста с</w:t>
      </w:r>
    </w:p>
    <w:p>
      <w:pPr>
        <w:pStyle w:val="Style20"/>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нагрузкой, существование такой системы без газоанализатора в принципе невозможно.</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Комиссия Управления отмечает, что указанная в составе заявки победителя аукциона информация «в состав комплектации не входит маска, капюшон, загубник и газоанализатор» не отображена в техническом задании, свидетельствует об отсутствии данных технических элементов у поставляемого медицинского оборудования и не является обязательной для включения Заказчиком в проект государственного контракта.</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На основании изложенного, с учетом пояснений представителей Заказчика и Заявителя Комиссия Управления приходит к выводу о необоснованности данного довода жалобы.</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Одновременно с этим в ходе проведения внеплановой проверки Комиссией Управления установлено, следующее.</w:t>
      </w:r>
    </w:p>
    <w:p>
      <w:pPr>
        <w:pStyle w:val="Style2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20"/>
        <w:numPr>
          <w:ilvl w:val="0"/>
          <w:numId w:val="3"/>
        </w:numPr>
        <w:tabs>
          <w:tab w:leader="none" w:pos="1226" w:val="left"/>
        </w:tabs>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ст.33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20"/>
        <w:numPr>
          <w:ilvl w:val="0"/>
          <w:numId w:val="5"/>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0"/>
        <w:numPr>
          <w:ilvl w:val="0"/>
          <w:numId w:val="5"/>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20"/>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В соответствии с ч.2 ст.33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0"/>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 xml:space="preserve">На заседании Комиссии Управления представитель Заказчика пояснил, что потребность Заказчика выражена в получении медицинского изделия в соответствии с описанием по коду №191730 номенклатурного классификатора медицинских изделий «Система мониторинга показателей при проведении сердечно-легочного стресс-теста с нагрузкой», а именно: «Комплект изделий, предназначенных для неинвазивной оценки реакции сердечнососудистой и дыхательной системы пациента на физические нагрузки или для измерения расхода энергии методами непрямой калориметрии. На каждом дыхательном цикле при помощи газоанализаторов регистрируются показатели объема дыхания, потребления кислорода </w:t>
      </w:r>
      <w:r>
        <w:rPr>
          <w:lang w:val="en-US" w:eastAsia="en-US" w:bidi="en-US"/>
          <w:w w:val="100"/>
          <w:spacing w:val="0"/>
          <w:color w:val="000000"/>
          <w:position w:val="0"/>
        </w:rPr>
        <w:t xml:space="preserve">(O2) </w:t>
      </w:r>
      <w:r>
        <w:rPr>
          <w:lang w:val="ru-RU" w:eastAsia="ru-RU" w:bidi="ru-RU"/>
          <w:w w:val="100"/>
          <w:spacing w:val="0"/>
          <w:color w:val="000000"/>
          <w:position w:val="0"/>
        </w:rPr>
        <w:t xml:space="preserve">и выделения диоксида углерода </w:t>
      </w:r>
      <w:r>
        <w:rPr>
          <w:lang w:val="en-US" w:eastAsia="en-US" w:bidi="en-US"/>
          <w:w w:val="100"/>
          <w:spacing w:val="0"/>
          <w:color w:val="000000"/>
          <w:position w:val="0"/>
        </w:rPr>
        <w:t xml:space="preserve">(CO2) </w:t>
      </w:r>
      <w:r>
        <w:rPr>
          <w:lang w:val="ru-RU" w:eastAsia="ru-RU" w:bidi="ru-RU"/>
          <w:w w:val="100"/>
          <w:spacing w:val="0"/>
          <w:color w:val="000000"/>
          <w:position w:val="0"/>
        </w:rPr>
        <w:t>под нагрузкой, а одновременно производится измерение жизненно важных параметров. Во время проведения стресс-теста с помощью конкретного изделия (например, эргометра) пациент надевает маску, капюшон или берет в рот загубник (мундштук) с трубкой отвода к газоанализаторам. Система, как правило, регистрирует показатели функционального состояния [например, дает возможность непрерывного снятия электрокардиограммы (ЭКГ)], обеспечивает контроль нагрузок, позволяет вывести результаты на дисплей или распечатать их».</w:t>
      </w:r>
    </w:p>
    <w:p>
      <w:pPr>
        <w:pStyle w:val="Style20"/>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Вместе с тем в связи с применением ограничений в соответствии с Постановлением Правительства Российской Федерации от 10.07.2019 № 878 (ред. от 25.07.2020)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(вместе с «Правилами формирования и ведения единого реестра Российской радиоэлектронной продукции», «Порядком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(далее — Постановление №878) Заказчик не имеет возможность установить дополнительные характеристики, не отраженные в каталоге товаров, работ, услуг.</w:t>
      </w:r>
    </w:p>
    <w:p>
      <w:pPr>
        <w:pStyle w:val="Style20"/>
        <w:widowControl w:val="0"/>
        <w:keepNext w:val="0"/>
        <w:keepLines w:val="0"/>
        <w:shd w:val="clear" w:color="auto" w:fill="auto"/>
        <w:bidi w:val="0"/>
        <w:spacing w:before="0" w:after="0"/>
        <w:ind w:left="0" w:right="0" w:firstLine="700"/>
      </w:pPr>
      <w:r>
        <w:rPr>
          <w:lang w:val="ru-RU" w:eastAsia="ru-RU" w:bidi="ru-RU"/>
          <w:w w:val="100"/>
          <w:spacing w:val="0"/>
          <w:color w:val="000000"/>
          <w:position w:val="0"/>
        </w:rPr>
        <w:t>Комиссия Управления отмечает, что вышеуказанное Заказчиком описание объекта закупки не отражено в положениях аукционной документации, при этом ограничения Постановления №878 распространяются на невозможность установления дополнительных характеристик, не предусмотренных положениями КТРУ, но не на описание такого товара.</w:t>
      </w:r>
    </w:p>
    <w:p>
      <w:pPr>
        <w:pStyle w:val="Style2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положений ч.1 ст.33 Закона о контрактной системе, поскольку размещенные разъяснения положений аукционной документации изменяют суть извещения, что содержит признаки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pPr>
        <w:pStyle w:val="Style20"/>
        <w:widowControl w:val="0"/>
        <w:keepNext w:val="0"/>
        <w:keepLines w:val="0"/>
        <w:shd w:val="clear" w:color="auto" w:fill="auto"/>
        <w:bidi w:val="0"/>
        <w:spacing w:before="0" w:after="369" w:line="346"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27"/>
        <w:widowControl w:val="0"/>
        <w:keepNext/>
        <w:keepLines/>
        <w:shd w:val="clear" w:color="auto" w:fill="auto"/>
        <w:bidi w:val="0"/>
        <w:spacing w:before="0" w:after="294"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20"/>
        <w:numPr>
          <w:ilvl w:val="0"/>
          <w:numId w:val="7"/>
        </w:numPr>
        <w:widowControl w:val="0"/>
        <w:keepNext w:val="0"/>
        <w:keepLines w:val="0"/>
        <w:shd w:val="clear" w:color="auto" w:fill="auto"/>
        <w:bidi w:val="0"/>
        <w:spacing w:before="0" w:after="0" w:line="346" w:lineRule="exact"/>
        <w:ind w:left="20" w:right="20" w:firstLine="700"/>
      </w:pPr>
      <w:r>
        <w:rPr>
          <w:lang w:val="ru-RU" w:eastAsia="ru-RU" w:bidi="ru-RU"/>
          <w:w w:val="100"/>
          <w:spacing w:val="0"/>
          <w:color w:val="000000"/>
          <w:position w:val="0"/>
        </w:rPr>
        <w:t xml:space="preserve"> Признать жалобу ООО «ИТМ-Миокард» на действия ГКУ АЗ (КС) ДЗМ обоснованной в части направления государственного контракта без учета положений заявки победителя аукциона.</w:t>
      </w:r>
    </w:p>
    <w:p>
      <w:pPr>
        <w:pStyle w:val="Style20"/>
        <w:numPr>
          <w:ilvl w:val="0"/>
          <w:numId w:val="7"/>
        </w:numPr>
        <w:widowControl w:val="0"/>
        <w:keepNext w:val="0"/>
        <w:keepLines w:val="0"/>
        <w:shd w:val="clear" w:color="auto" w:fill="auto"/>
        <w:bidi w:val="0"/>
        <w:spacing w:before="0" w:after="0" w:line="346" w:lineRule="exact"/>
        <w:ind w:left="20" w:right="20" w:firstLine="700"/>
      </w:pPr>
      <w:r>
        <w:rPr>
          <w:lang w:val="ru-RU" w:eastAsia="ru-RU" w:bidi="ru-RU"/>
          <w:w w:val="100"/>
          <w:spacing w:val="0"/>
          <w:color w:val="000000"/>
          <w:position w:val="0"/>
        </w:rPr>
        <w:t xml:space="preserve"> Признать в действиях Заказчика нарушение п.3 ч.4 ст.51, ч.1 ст.33 Закона о контрактной системе.</w:t>
      </w:r>
    </w:p>
    <w:p>
      <w:pPr>
        <w:pStyle w:val="Style20"/>
        <w:numPr>
          <w:ilvl w:val="0"/>
          <w:numId w:val="7"/>
        </w:numPr>
        <w:widowControl w:val="0"/>
        <w:keepNext w:val="0"/>
        <w:keepLines w:val="0"/>
        <w:shd w:val="clear" w:color="auto" w:fill="auto"/>
        <w:bidi w:val="0"/>
        <w:spacing w:before="0" w:after="0" w:line="341" w:lineRule="exact"/>
        <w:ind w:left="20" w:right="20" w:firstLine="70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20"/>
        <w:numPr>
          <w:ilvl w:val="0"/>
          <w:numId w:val="7"/>
        </w:numPr>
        <w:widowControl w:val="0"/>
        <w:keepNext w:val="0"/>
        <w:keepLines w:val="0"/>
        <w:shd w:val="clear" w:color="auto" w:fill="auto"/>
        <w:bidi w:val="0"/>
        <w:spacing w:before="0" w:after="300" w:line="341" w:lineRule="exact"/>
        <w:ind w:left="20" w:right="20" w:firstLine="70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20"/>
        <w:widowControl w:val="0"/>
        <w:keepNext w:val="0"/>
        <w:keepLines w:val="0"/>
        <w:shd w:val="clear" w:color="auto" w:fill="auto"/>
        <w:bidi w:val="0"/>
        <w:spacing w:before="0" w:after="58" w:line="341" w:lineRule="exact"/>
        <w:ind w:left="2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20"/>
        <w:tabs>
          <w:tab w:leader="none" w:pos="9087" w:val="center"/>
          <w:tab w:leader="none" w:pos="10150" w:val="right"/>
        </w:tabs>
        <w:widowControl w:val="0"/>
        <w:keepNext w:val="0"/>
        <w:keepLines w:val="0"/>
        <w:shd w:val="clear" w:color="auto" w:fill="auto"/>
        <w:bidi w:val="0"/>
        <w:spacing w:before="0" w:after="0" w:line="643" w:lineRule="exact"/>
        <w:ind w:left="20" w:right="0" w:firstLine="0"/>
      </w:pPr>
      <w:r>
        <w:rPr>
          <w:lang w:val="ru-RU" w:eastAsia="ru-RU" w:bidi="ru-RU"/>
          <w:w w:val="100"/>
          <w:spacing w:val="0"/>
          <w:color w:val="000000"/>
          <w:position w:val="0"/>
        </w:rPr>
        <w:t>Председательствующий</w:t>
        <w:tab/>
        <w:t>Н.А.</w:t>
        <w:tab/>
        <w:t>Узкий</w:t>
      </w:r>
    </w:p>
    <w:p>
      <w:pPr>
        <w:pStyle w:val="Style20"/>
        <w:tabs>
          <w:tab w:leader="none" w:pos="8674" w:val="right"/>
          <w:tab w:leader="none" w:pos="10150" w:val="right"/>
        </w:tabs>
        <w:widowControl w:val="0"/>
        <w:keepNext w:val="0"/>
        <w:keepLines w:val="0"/>
        <w:shd w:val="clear" w:color="auto" w:fill="auto"/>
        <w:bidi w:val="0"/>
        <w:spacing w:before="0" w:after="0" w:line="643" w:lineRule="exact"/>
        <w:ind w:left="20" w:right="0" w:firstLine="0"/>
      </w:pPr>
      <w:r>
        <w:rPr>
          <w:lang w:val="ru-RU" w:eastAsia="ru-RU" w:bidi="ru-RU"/>
          <w:w w:val="100"/>
          <w:spacing w:val="0"/>
          <w:color w:val="000000"/>
          <w:position w:val="0"/>
        </w:rPr>
        <w:t>Члены Комиссии:</w:t>
        <w:tab/>
        <w:t>А.А.</w:t>
        <w:tab/>
        <w:t>Кутейников</w:t>
      </w:r>
    </w:p>
    <w:p>
      <w:pPr>
        <w:pStyle w:val="Style20"/>
        <w:tabs>
          <w:tab w:leader="none" w:pos="9457" w:val="left"/>
        </w:tabs>
        <w:widowControl w:val="0"/>
        <w:keepNext w:val="0"/>
        <w:keepLines w:val="0"/>
        <w:shd w:val="clear" w:color="auto" w:fill="auto"/>
        <w:bidi w:val="0"/>
        <w:spacing w:before="0" w:after="1335" w:line="643" w:lineRule="exact"/>
        <w:ind w:left="8860" w:right="0" w:firstLine="0"/>
      </w:pPr>
      <w:r>
        <w:rPr>
          <w:lang w:val="ru-RU" w:eastAsia="ru-RU" w:bidi="ru-RU"/>
          <w:w w:val="100"/>
          <w:spacing w:val="0"/>
          <w:color w:val="000000"/>
          <w:position w:val="0"/>
        </w:rPr>
        <w:t>Э.З.</w:t>
        <w:tab/>
        <w:t>Гугава</w:t>
      </w:r>
    </w:p>
    <w:p>
      <w:pPr>
        <w:pStyle w:val="Style30"/>
        <w:widowControl w:val="0"/>
        <w:keepNext w:val="0"/>
        <w:keepLines w:val="0"/>
        <w:shd w:val="clear" w:color="auto" w:fill="auto"/>
        <w:bidi w:val="0"/>
        <w:jc w:val="left"/>
        <w:spacing w:before="0" w:after="0"/>
        <w:ind w:left="20" w:right="8220" w:firstLine="0"/>
      </w:pPr>
      <w:r>
        <w:rPr>
          <w:lang w:val="ru-RU" w:eastAsia="ru-RU" w:bidi="ru-RU"/>
          <w:w w:val="100"/>
          <w:spacing w:val="0"/>
          <w:color w:val="000000"/>
          <w:position w:val="0"/>
        </w:rPr>
        <w:t>Исп.Кутейников А.А. тел.8(495)784-75-05</w:t>
      </w:r>
    </w:p>
    <w:sectPr>
      <w:pgSz w:w="11909" w:h="16838"/>
      <w:pgMar w:top="1247" w:left="657" w:right="633" w:bottom="1089"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9pt;margin-top:796.2pt;width:56.65pt;height:7.9pt;z-index:-188744063;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2022-46641</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05pt;margin-top:805.75pt;width:56.15pt;height:7.9pt;z-index:-188744062;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2022-46641</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3.95pt;margin-top:37.8pt;width:10.1pt;height:7.9pt;z-index:-188744064;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3">
    <w:name w:val="Основной текст (2)"/>
    <w:basedOn w:val="CharStyle11"/>
    <w:rPr>
      <w:lang w:val="en-US" w:eastAsia="en-US" w:bidi="en-US"/>
      <w:u w:val="single"/>
      <w:w w:val="100"/>
      <w:spacing w:val="0"/>
      <w:color w:val="000000"/>
      <w:position w:val="0"/>
    </w:rPr>
  </w:style>
  <w:style w:type="character" w:customStyle="1" w:styleId="CharStyle15">
    <w:name w:val="Колонтитул_"/>
    <w:basedOn w:val="DefaultParagraphFont"/>
    <w:link w:val="Style14"/>
    <w:rPr>
      <w:b w:val="0"/>
      <w:bCs w:val="0"/>
      <w:i w:val="0"/>
      <w:iCs w:val="0"/>
      <w:u w:val="none"/>
      <w:strike w:val="0"/>
      <w:smallCaps w:val="0"/>
      <w:sz w:val="21"/>
      <w:szCs w:val="21"/>
      <w:rFonts w:ascii="Tahoma" w:eastAsia="Tahoma" w:hAnsi="Tahoma" w:cs="Tahoma"/>
    </w:rPr>
  </w:style>
  <w:style w:type="character" w:customStyle="1" w:styleId="CharStyle16">
    <w:name w:val="Колонтитул"/>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Штрих-код (2)_"/>
    <w:basedOn w:val="DefaultParagraphFont"/>
    <w:link w:val="Style2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6">
    <w:name w:val="Основной текст"/>
    <w:basedOn w:val="CharStyle21"/>
    <w:rPr>
      <w:lang w:val="ru-RU" w:eastAsia="ru-RU" w:bidi="ru-RU"/>
      <w:u w:val="single"/>
      <w:w w:val="100"/>
      <w:spacing w:val="0"/>
      <w:color w:val="000000"/>
      <w:position w:val="0"/>
    </w:rPr>
  </w:style>
  <w:style w:type="character" w:customStyle="1" w:styleId="CharStyle28">
    <w:name w:val="Заголовок №1_"/>
    <w:basedOn w:val="DefaultParagraphFont"/>
    <w:link w:val="Style27"/>
    <w:rPr>
      <w:b/>
      <w:bCs/>
      <w:i w:val="0"/>
      <w:iCs w:val="0"/>
      <w:u w:val="none"/>
      <w:strike w:val="0"/>
      <w:smallCaps w:val="0"/>
      <w:sz w:val="26"/>
      <w:szCs w:val="26"/>
      <w:rFonts w:ascii="Times New Roman" w:eastAsia="Times New Roman" w:hAnsi="Times New Roman" w:cs="Times New Roman"/>
    </w:rPr>
  </w:style>
  <w:style w:type="character" w:customStyle="1" w:styleId="CharStyle29">
    <w:name w:val="Основной текст + 11 pt"/>
    <w:basedOn w:val="CharStyle21"/>
    <w:rPr>
      <w:lang w:val="ru-RU" w:eastAsia="ru-RU" w:bidi="ru-RU"/>
      <w:sz w:val="22"/>
      <w:szCs w:val="22"/>
      <w:w w:val="100"/>
      <w:spacing w:val="0"/>
      <w:color w:val="000000"/>
      <w:position w:val="0"/>
    </w:rPr>
  </w:style>
  <w:style w:type="character" w:customStyle="1" w:styleId="CharStyle31">
    <w:name w:val="Основной текст (6)_"/>
    <w:basedOn w:val="DefaultParagraphFont"/>
    <w:link w:val="Style30"/>
    <w:rPr>
      <w:b/>
      <w:bCs/>
      <w:i w:val="0"/>
      <w:iCs w:val="0"/>
      <w:u w:val="none"/>
      <w:strike w:val="0"/>
      <w:smallCaps w:val="0"/>
      <w:sz w:val="20"/>
      <w:szCs w:val="20"/>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Колонтитул"/>
    <w:basedOn w:val="Normal"/>
    <w:link w:val="CharStyle15"/>
    <w:pPr>
      <w:widowControl w:val="0"/>
      <w:shd w:val="clear" w:color="auto" w:fill="FFFFFF"/>
      <w:spacing w:line="0" w:lineRule="exact"/>
    </w:pPr>
    <w:rPr>
      <w:b w:val="0"/>
      <w:bCs w:val="0"/>
      <w:i w:val="0"/>
      <w:iCs w:val="0"/>
      <w:u w:val="none"/>
      <w:strike w:val="0"/>
      <w:smallCaps w:val="0"/>
      <w:sz w:val="21"/>
      <w:szCs w:val="21"/>
      <w:rFonts w:ascii="Tahoma" w:eastAsia="Tahoma" w:hAnsi="Tahoma" w:cs="Tahoma"/>
    </w:rPr>
  </w:style>
  <w:style w:type="paragraph" w:customStyle="1" w:styleId="Style17">
    <w:name w:val="Основной текст (3)"/>
    <w:basedOn w:val="Normal"/>
    <w:link w:val="CharStyle18"/>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jc w:val="both"/>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Штрих-код (2)"/>
    <w:basedOn w:val="Normal"/>
    <w:link w:val="CharStyle2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line="341" w:lineRule="exact"/>
      <w:ind w:firstLine="4600"/>
    </w:pPr>
    <w:rPr>
      <w:b/>
      <w:bCs/>
      <w:i w:val="0"/>
      <w:iCs w:val="0"/>
      <w:u w:val="none"/>
      <w:strike w:val="0"/>
      <w:smallCaps w:val="0"/>
      <w:sz w:val="26"/>
      <w:szCs w:val="26"/>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0">
    <w:name w:val="Основной текст (6)"/>
    <w:basedOn w:val="Normal"/>
    <w:link w:val="CharStyle31"/>
    <w:pPr>
      <w:widowControl w:val="0"/>
      <w:shd w:val="clear" w:color="auto" w:fill="FFFFFF"/>
      <w:spacing w:before="1020" w:line="25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s>
</file>