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была подана жалоба на действия заказчика, комиссии по рассмотрению заявок по электронному конкурсу «Противопаводковые мероприятия на межхозяйственном канале «2-ой Плановский»» (извещение № 0304100002322000023).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475" w:lineRule="exact"/>
        <w:ind w:left="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Сообщаем вам об отзыве поданной жалобы. Осуществить отзыв жалобы на сайте ЕИС не представляется возможным из-за технической ошибки сайта. Скриншот ошибки прилагаем.</w:t>
      </w:r>
    </w:p>
    <w:sectPr>
      <w:footnotePr>
        <w:pos w:val="pageBottom"/>
        <w:numFmt w:val="decimal"/>
        <w:numRestart w:val="continuous"/>
      </w:footnotePr>
      <w:type w:val="continuous"/>
      <w:pgSz w:w="16834" w:h="11909" w:orient="landscape"/>
      <w:pgMar w:top="4278" w:left="3759" w:right="3741" w:bottom="427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line="479" w:lineRule="exact"/>
      <w:ind w:firstLine="56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