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3"/>
        <w:framePr w:h="662" w:wrap="notBeside" w:vAnchor="text" w:hAnchor="text" w:xAlign="center" w:y="1"/>
        <w:widowControl w:val="0"/>
        <w:keepNext w:val="0"/>
        <w:keepLines w:val="0"/>
        <w:shd w:val="clear" w:color="auto" w:fill="auto"/>
        <w:bidi w:val="0"/>
        <w:jc w:val="left"/>
        <w:spacing w:before="0" w:after="0" w:line="120" w:lineRule="exact"/>
        <w:ind w:left="0" w:right="0" w:firstLine="0"/>
      </w:pPr>
      <w:r>
        <w:rPr>
          <w:rStyle w:val="CharStyle5"/>
        </w:rPr>
        <w:t>V</w:t>
      </w:r>
    </w:p>
    <w:p>
      <w:pPr>
        <w:widowControl w:val="0"/>
        <w:rPr>
          <w:sz w:val="2"/>
          <w:szCs w:val="2"/>
        </w:rPr>
      </w:pPr>
    </w:p>
    <w:p>
      <w:pPr>
        <w:widowControl w:val="0"/>
        <w:rPr>
          <w:sz w:val="2"/>
          <w:szCs w:val="2"/>
        </w:rPr>
        <w:sectPr>
          <w:headerReference w:type="default" r:id="rId7"/>
          <w:footerReference w:type="default" r:id="rId8"/>
          <w:footerReference w:type="first" r:id="rId9"/>
          <w:titlePg/>
          <w:footnotePr>
            <w:pos w:val="pageBottom"/>
            <w:numFmt w:val="decimal"/>
            <w:numRestart w:val="continuous"/>
          </w:footnotePr>
          <w:type w:val="continuous"/>
          <w:pgSz w:w="11909" w:h="16838"/>
          <w:pgMar w:top="91" w:left="2620" w:right="8668" w:bottom="341" w:header="0" w:footer="3" w:gutter="0"/>
          <w:rtlGutter w:val="0"/>
          <w:cols w:space="720"/>
          <w:noEndnote/>
          <w:docGrid w:linePitch="360"/>
        </w:sectPr>
      </w:pPr>
    </w:p>
    <w:p>
      <w:pPr>
        <w:pStyle w:val="Style9"/>
        <w:widowControl w:val="0"/>
        <w:keepNext w:val="0"/>
        <w:keepLines w:val="0"/>
        <w:shd w:val="clear" w:color="auto" w:fill="auto"/>
        <w:bidi w:val="0"/>
        <w:spacing w:before="0" w:after="164"/>
        <w:ind w:left="0" w:right="0" w:firstLine="0"/>
      </w:pPr>
      <w:r>
        <w:rPr>
          <w:rStyle w:val="CharStyle11"/>
          <w:b/>
          <w:bCs/>
        </w:rPr>
        <w:t>ФЕДЕРАЛЬНАЯ АНТИМОНОПОЛЬНАЯ СЛУЖБА</w:t>
      </w:r>
    </w:p>
    <w:p>
      <w:pPr>
        <w:pStyle w:val="Style9"/>
        <w:widowControl w:val="0"/>
        <w:keepNext w:val="0"/>
        <w:keepLines w:val="0"/>
        <w:shd w:val="clear" w:color="auto" w:fill="auto"/>
        <w:bidi w:val="0"/>
        <w:spacing w:before="0" w:after="0" w:line="180" w:lineRule="exact"/>
        <w:ind w:left="0" w:right="0" w:firstLine="0"/>
      </w:pPr>
      <w:r>
        <w:rPr>
          <w:rStyle w:val="CharStyle11"/>
          <w:b/>
          <w:bCs/>
        </w:rPr>
        <w:t>УПРАВЛЕ</w:t>
      </w:r>
      <w:r>
        <w:rPr>
          <w:rStyle w:val="CharStyle12"/>
          <w:b/>
          <w:bCs/>
        </w:rPr>
        <w:t>НИЕ</w:t>
      </w:r>
    </w:p>
    <w:p>
      <w:pPr>
        <w:pStyle w:val="Style13"/>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ГКУ «Технический центр Департамента культуры»</w:t>
      </w:r>
    </w:p>
    <w:p>
      <w:pPr>
        <w:pStyle w:val="Style13"/>
        <w:widowControl w:val="0"/>
        <w:keepNext w:val="0"/>
        <w:keepLines w:val="0"/>
        <w:shd w:val="clear" w:color="auto" w:fill="auto"/>
        <w:bidi w:val="0"/>
        <w:spacing w:before="0" w:after="0"/>
        <w:ind w:left="20" w:right="0" w:firstLine="0"/>
        <w:sectPr>
          <w:type w:val="continuous"/>
          <w:pgSz w:w="11909" w:h="16838"/>
          <w:pgMar w:top="121" w:left="1343" w:right="940" w:bottom="371" w:header="0" w:footer="3" w:gutter="0"/>
          <w:rtlGutter w:val="0"/>
          <w:cols w:num="2" w:space="720" w:equalWidth="0">
            <w:col w:w="3173" w:space="1632"/>
            <w:col w:w="4819"/>
          </w:cols>
          <w:noEndnote/>
          <w:docGrid w:linePitch="360"/>
        </w:sectPr>
      </w:pPr>
      <w:r>
        <w:rPr>
          <w:lang w:val="ru-RU" w:eastAsia="ru-RU" w:bidi="ru-RU"/>
          <w:w w:val="100"/>
          <w:spacing w:val="0"/>
          <w:color w:val="000000"/>
          <w:position w:val="0"/>
        </w:rPr>
        <w:t>бул. Цветной, д. 30, стр. 1, г. Москва,</w:t>
      </w:r>
    </w:p>
    <w:p>
      <w:pPr>
        <w:widowControl w:val="0"/>
        <w:spacing w:line="48" w:lineRule="exact"/>
        <w:rPr>
          <w:sz w:val="4"/>
          <w:szCs w:val="4"/>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5"/>
        <w:framePr w:h="161" w:wrap="around" w:vAnchor="text" w:hAnchor="margin" w:x="-186" w:y="2201"/>
        <w:widowControl w:val="0"/>
        <w:keepNext w:val="0"/>
        <w:keepLines w:val="0"/>
        <w:shd w:val="clear" w:color="auto" w:fill="auto"/>
        <w:bidi w:val="0"/>
        <w:jc w:val="left"/>
        <w:spacing w:before="0" w:after="0" w:line="160" w:lineRule="exact"/>
        <w:ind w:left="0" w:right="0" w:firstLine="0"/>
      </w:pPr>
      <w:r>
        <w:rPr>
          <w:rStyle w:val="CharStyle17"/>
          <w:spacing w:val="20"/>
        </w:rPr>
        <w:t>На№</w:t>
      </w:r>
    </w:p>
    <w:p>
      <w:pPr>
        <w:widowControl w:val="0"/>
        <w:rPr>
          <w:sz w:val="2"/>
          <w:szCs w:val="2"/>
        </w:rPr>
      </w:pPr>
    </w:p>
    <w:p>
      <w:pPr>
        <w:pStyle w:val="Style9"/>
        <w:widowControl w:val="0"/>
        <w:keepNext w:val="0"/>
        <w:keepLines w:val="0"/>
        <w:shd w:val="clear" w:color="auto" w:fill="auto"/>
        <w:bidi w:val="0"/>
        <w:spacing w:before="0" w:after="157" w:line="180" w:lineRule="exact"/>
        <w:ind w:left="0" w:right="0" w:firstLine="0"/>
      </w:pPr>
      <w:r>
        <w:rPr>
          <w:rStyle w:val="CharStyle11"/>
          <w:b/>
          <w:bCs/>
        </w:rPr>
        <w:t>по г. Москве</w:t>
      </w:r>
    </w:p>
    <w:p>
      <w:pPr>
        <w:pStyle w:val="Style18"/>
        <w:widowControl w:val="0"/>
        <w:keepNext w:val="0"/>
        <w:keepLines w:val="0"/>
        <w:shd w:val="clear" w:color="auto" w:fill="auto"/>
        <w:bidi w:val="0"/>
        <w:spacing w:before="0" w:after="281"/>
        <w:ind w:left="0" w:right="0" w:firstLine="0"/>
      </w:pPr>
      <w:r>
        <w:rPr>
          <w:rStyle w:val="CharStyle20"/>
        </w:rPr>
        <w:t xml:space="preserve">Мясницкий проезд, д.4, стр. 1 107078, г. Москва, тел. (495) 784-75-05, факс (495) 607-49-29 факс (495) 607-42-92, </w:t>
      </w:r>
      <w:r>
        <w:rPr>
          <w:rStyle w:val="CharStyle21"/>
        </w:rPr>
        <w:t>e-mail: to77@,fas.gov.ru</w:t>
      </w:r>
    </w:p>
    <w:p>
      <w:pPr>
        <w:pStyle w:val="Style22"/>
        <w:widowControl w:val="0"/>
        <w:keepNext w:val="0"/>
        <w:keepLines w:val="0"/>
        <w:shd w:val="clear" w:color="auto" w:fill="auto"/>
        <w:bidi w:val="0"/>
        <w:jc w:val="left"/>
        <w:spacing w:before="0" w:after="213" w:line="170" w:lineRule="exact"/>
        <w:ind w:left="1360" w:right="0" w:firstLine="0"/>
      </w:pPr>
      <w:r>
        <w:rPr>
          <w:rStyle w:val="CharStyle24"/>
        </w:rPr>
        <w:t>№</w:t>
      </w:r>
    </w:p>
    <w:p>
      <w:pPr>
        <w:pStyle w:val="Style18"/>
        <w:widowControl w:val="0"/>
        <w:keepNext w:val="0"/>
        <w:keepLines w:val="0"/>
        <w:shd w:val="clear" w:color="auto" w:fill="auto"/>
        <w:bidi w:val="0"/>
        <w:jc w:val="left"/>
        <w:spacing w:before="0" w:after="0" w:line="180" w:lineRule="exact"/>
        <w:ind w:left="1360" w:right="0" w:firstLine="0"/>
      </w:pPr>
      <w:r>
        <w:rPr>
          <w:rStyle w:val="CharStyle20"/>
        </w:rPr>
        <w:t>от</w:t>
      </w:r>
    </w:p>
    <w:p>
      <w:pPr>
        <w:pStyle w:val="Style13"/>
        <w:widowControl w:val="0"/>
        <w:keepNext w:val="0"/>
        <w:keepLines w:val="0"/>
        <w:shd w:val="clear" w:color="auto" w:fill="auto"/>
        <w:bidi w:val="0"/>
        <w:jc w:val="left"/>
        <w:spacing w:before="0" w:after="2" w:line="260" w:lineRule="exact"/>
        <w:ind w:left="20" w:right="0" w:firstLine="0"/>
      </w:pPr>
      <w:r>
        <w:rPr>
          <w:lang w:val="ru-RU" w:eastAsia="ru-RU" w:bidi="ru-RU"/>
          <w:w w:val="100"/>
          <w:spacing w:val="0"/>
          <w:color w:val="000000"/>
          <w:position w:val="0"/>
        </w:rPr>
        <w:t>127051</w:t>
      </w:r>
    </w:p>
    <w:p>
      <w:pPr>
        <w:pStyle w:val="Style13"/>
        <w:widowControl w:val="0"/>
        <w:keepNext w:val="0"/>
        <w:keepLines w:val="0"/>
        <w:shd w:val="clear" w:color="auto" w:fill="auto"/>
        <w:bidi w:val="0"/>
        <w:jc w:val="left"/>
        <w:spacing w:before="0" w:after="2" w:line="260" w:lineRule="exact"/>
        <w:ind w:left="20" w:right="0" w:firstLine="0"/>
      </w:pPr>
      <w:r>
        <w:fldChar w:fldCharType="begin"/>
      </w:r>
      <w:r>
        <w:rPr>
          <w:color w:val="000000"/>
        </w:rPr>
        <w:instrText> HYPERLINK "mailto:zakupki@culture.mos.ru" </w:instrText>
      </w:r>
      <w:r>
        <w:fldChar w:fldCharType="separate"/>
      </w:r>
      <w:r>
        <w:rPr>
          <w:rStyle w:val="Hyperlink"/>
          <w:lang w:val="en-US" w:eastAsia="en-US" w:bidi="en-US"/>
          <w:w w:val="100"/>
          <w:spacing w:val="0"/>
          <w:position w:val="0"/>
        </w:rPr>
        <w:t>zakupki@culture.mos.ru</w:t>
      </w:r>
      <w:r>
        <w:fldChar w:fldCharType="end"/>
      </w:r>
    </w:p>
    <w:p>
      <w:pPr>
        <w:pStyle w:val="Style13"/>
        <w:widowControl w:val="0"/>
        <w:keepNext w:val="0"/>
        <w:keepLines w:val="0"/>
        <w:shd w:val="clear" w:color="auto" w:fill="auto"/>
        <w:bidi w:val="0"/>
        <w:jc w:val="left"/>
        <w:spacing w:before="0" w:after="307" w:line="260" w:lineRule="exact"/>
        <w:ind w:left="20" w:right="0" w:firstLine="0"/>
      </w:pPr>
      <w:r>
        <w:fldChar w:fldCharType="begin"/>
      </w:r>
      <w:r>
        <w:rPr>
          <w:color w:val="000000"/>
        </w:rPr>
        <w:instrText> HYPERLINK "mailto:SergeevaAI@culture.mos.ru" </w:instrText>
      </w:r>
      <w:r>
        <w:fldChar w:fldCharType="separate"/>
      </w:r>
      <w:r>
        <w:rPr>
          <w:rStyle w:val="Hyperlink"/>
          <w:lang w:val="en-US" w:eastAsia="en-US" w:bidi="en-US"/>
          <w:w w:val="100"/>
          <w:spacing w:val="0"/>
          <w:position w:val="0"/>
        </w:rPr>
        <w:t>SergeevaAI@culture.mos.ru</w:t>
      </w:r>
      <w:r>
        <w:fldChar w:fldCharType="end"/>
      </w:r>
    </w:p>
    <w:p>
      <w:pPr>
        <w:pStyle w:val="Style13"/>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ООО «ИнтерСтрой»</w:t>
      </w:r>
    </w:p>
    <w:p>
      <w:pPr>
        <w:pStyle w:val="Style13"/>
        <w:widowControl w:val="0"/>
        <w:keepNext w:val="0"/>
        <w:keepLines w:val="0"/>
        <w:shd w:val="clear" w:color="auto" w:fill="auto"/>
        <w:bidi w:val="0"/>
        <w:jc w:val="left"/>
        <w:spacing w:before="0" w:after="0" w:line="317" w:lineRule="exact"/>
        <w:ind w:left="20" w:right="0" w:firstLine="0"/>
        <w:sectPr>
          <w:type w:val="continuous"/>
          <w:pgSz w:w="11909" w:h="16838"/>
          <w:pgMar w:top="106" w:left="1075" w:right="1070" w:bottom="356" w:header="0" w:footer="3" w:gutter="0"/>
          <w:rtlGutter w:val="0"/>
          <w:cols w:num="2" w:space="720" w:equalWidth="0">
            <w:col w:w="3715" w:space="1363"/>
            <w:col w:w="4685"/>
          </w:cols>
          <w:noEndnote/>
          <w:docGrid w:linePitch="360"/>
        </w:sectPr>
      </w:pPr>
      <w:r>
        <w:rPr>
          <w:lang w:val="ru-RU" w:eastAsia="ru-RU" w:bidi="ru-RU"/>
          <w:w w:val="100"/>
          <w:spacing w:val="0"/>
          <w:color w:val="000000"/>
          <w:position w:val="0"/>
        </w:rPr>
        <w:t xml:space="preserve">115230, г. Москва, пр. Хлебозавосдкий, д. 7. стр. 9, этаж 9, помещение XVI, комн. 2, оф. 19 </w:t>
      </w:r>
      <w:r>
        <w:fldChar w:fldCharType="begin"/>
      </w:r>
      <w:r>
        <w:rPr>
          <w:color w:val="000000"/>
        </w:rPr>
        <w:instrText> HYPERLINK "mailto:interstroi2022@mail.ru" </w:instrText>
      </w:r>
      <w:r>
        <w:fldChar w:fldCharType="separate"/>
      </w:r>
      <w:r>
        <w:rPr>
          <w:rStyle w:val="Hyperlink"/>
          <w:lang w:val="en-US" w:eastAsia="en-US" w:bidi="en-US"/>
          <w:w w:val="100"/>
          <w:spacing w:val="0"/>
          <w:position w:val="0"/>
        </w:rPr>
        <w:t>interstroi2022@mail.ru</w:t>
      </w:r>
      <w:r>
        <w:fldChar w:fldCharType="end"/>
      </w:r>
    </w:p>
    <w:p>
      <w:pPr>
        <w:pStyle w:val="Style25"/>
        <w:framePr w:h="420" w:wrap="around" w:vAnchor="text" w:hAnchor="margin" w:x="-2197" w:y="-81"/>
        <w:widowControl w:val="0"/>
        <w:keepNext w:val="0"/>
        <w:keepLines w:val="0"/>
        <w:shd w:val="clear" w:color="auto" w:fill="auto"/>
        <w:bidi w:val="0"/>
        <w:jc w:val="left"/>
        <w:spacing w:before="0" w:after="0" w:line="420" w:lineRule="exact"/>
        <w:ind w:left="0" w:right="0" w:firstLine="0"/>
      </w:pPr>
      <w:r>
        <w:rPr>
          <w:rStyle w:val="CharStyle27"/>
          <w:b/>
          <w:bCs/>
        </w:rPr>
        <w:t>Г</w:t>
      </w:r>
    </w:p>
    <w:p>
      <w:pPr>
        <w:pStyle w:val="Style28"/>
        <w:widowControl w:val="0"/>
        <w:keepNext w:val="0"/>
        <w:keepLines w:val="0"/>
        <w:shd w:val="clear" w:color="auto" w:fill="auto"/>
        <w:bidi w:val="0"/>
        <w:jc w:val="left"/>
        <w:spacing w:before="0" w:after="602" w:line="540" w:lineRule="exact"/>
        <w:ind w:left="1600" w:right="0" w:firstLine="0"/>
      </w:pPr>
      <w:r>
        <w:rPr>
          <w:rStyle w:val="CharStyle30"/>
        </w:rPr>
        <w:t>п</w:t>
      </w:r>
    </w:p>
    <w:p>
      <w:pPr>
        <w:pStyle w:val="Style31"/>
        <w:widowControl w:val="0"/>
        <w:keepNext w:val="0"/>
        <w:keepLines w:val="0"/>
        <w:shd w:val="clear" w:color="auto" w:fill="auto"/>
        <w:bidi w:val="0"/>
        <w:spacing w:before="0" w:after="0"/>
        <w:ind w:left="0" w:right="0" w:firstLine="0"/>
        <w:sectPr>
          <w:type w:val="continuous"/>
          <w:pgSz w:w="11909" w:h="16838"/>
          <w:pgMar w:top="121" w:left="3071" w:right="2821" w:bottom="371" w:header="0" w:footer="3" w:gutter="0"/>
          <w:rtlGutter w:val="0"/>
          <w:cols w:space="720"/>
          <w:noEndnote/>
          <w:docGrid w:linePitch="360"/>
        </w:sectPr>
      </w:pPr>
      <w:r>
        <w:rPr>
          <w:lang w:val="ru-RU" w:eastAsia="ru-RU" w:bidi="ru-RU"/>
          <w:w w:val="100"/>
          <w:spacing w:val="0"/>
          <w:color w:val="000000"/>
          <w:position w:val="0"/>
        </w:rPr>
        <w:t>РЕШЕНИЕ по делу № 077/06/106-11885/2022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1"/>
        <w:framePr w:h="240" w:wrap="around" w:vAnchor="text" w:hAnchor="margin" w:x="8865" w:y="6"/>
        <w:widowControl w:val="0"/>
        <w:keepNext w:val="0"/>
        <w:keepLines w:val="0"/>
        <w:shd w:val="clear" w:color="auto" w:fill="auto"/>
        <w:bidi w:val="0"/>
        <w:jc w:val="left"/>
        <w:spacing w:before="0" w:after="0" w:line="240" w:lineRule="exact"/>
        <w:ind w:left="100" w:right="0" w:firstLine="0"/>
      </w:pPr>
      <w:r>
        <w:rPr>
          <w:rStyle w:val="CharStyle33"/>
          <w:b/>
          <w:bCs/>
          <w:spacing w:val="0"/>
        </w:rPr>
        <w:t>г. Москва</w:t>
      </w:r>
    </w:p>
    <w:p>
      <w:pPr>
        <w:pStyle w:val="Style3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10.08.2022</w:t>
      </w:r>
    </w:p>
    <w:p>
      <w:pPr>
        <w:pStyle w:val="Style13"/>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3"/>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Председательствующего - главного специалиста-эксперта отдела обжалования государственных закупок А.А. Кутейникова,</w:t>
      </w:r>
    </w:p>
    <w:p>
      <w:pPr>
        <w:pStyle w:val="Style13"/>
        <w:widowControl w:val="0"/>
        <w:keepNext w:val="0"/>
        <w:keepLines w:val="0"/>
        <w:shd w:val="clear" w:color="auto" w:fill="auto"/>
        <w:bidi w:val="0"/>
        <w:spacing w:before="0" w:after="0"/>
        <w:ind w:left="0" w:right="0" w:firstLine="700"/>
      </w:pPr>
      <w:r>
        <w:rPr>
          <w:lang w:val="ru-RU" w:eastAsia="ru-RU" w:bidi="ru-RU"/>
          <w:w w:val="100"/>
          <w:spacing w:val="0"/>
          <w:color w:val="000000"/>
          <w:position w:val="0"/>
        </w:rPr>
        <w:t>Членов Комиссии:</w:t>
      </w:r>
    </w:p>
    <w:p>
      <w:pPr>
        <w:pStyle w:val="Style13"/>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13"/>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Специалиста-эксперта отдела обжалования государственных закупок Э.З. Гугава,</w:t>
      </w:r>
    </w:p>
    <w:p>
      <w:pPr>
        <w:pStyle w:val="Style13"/>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рассмотрение жалобы проводилось дистанционно (посредством конференц</w:t>
        <w:softHyphen/>
        <w:t xml:space="preserve">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13"/>
        <w:widowControl w:val="0"/>
        <w:keepNext w:val="0"/>
        <w:keepLines w:val="0"/>
        <w:shd w:val="clear" w:color="auto" w:fill="auto"/>
        <w:bidi w:val="0"/>
        <w:spacing w:before="0" w:after="0"/>
        <w:ind w:left="0" w:right="0" w:firstLine="700"/>
      </w:pPr>
      <w:r>
        <w:rPr>
          <w:lang w:val="ru-RU" w:eastAsia="ru-RU" w:bidi="ru-RU"/>
          <w:w w:val="100"/>
          <w:spacing w:val="0"/>
          <w:color w:val="000000"/>
          <w:position w:val="0"/>
        </w:rPr>
        <w:t>при участии представителей:</w:t>
      </w:r>
    </w:p>
    <w:p>
      <w:pPr>
        <w:pStyle w:val="Style13"/>
        <w:widowControl w:val="0"/>
        <w:keepNext w:val="0"/>
        <w:keepLines w:val="0"/>
        <w:shd w:val="clear" w:color="auto" w:fill="auto"/>
        <w:bidi w:val="0"/>
        <w:jc w:val="left"/>
        <w:spacing w:before="0" w:after="0"/>
        <w:ind w:left="0" w:right="860" w:firstLine="700"/>
      </w:pPr>
      <w:r>
        <w:rPr>
          <w:lang w:val="ru-RU" w:eastAsia="ru-RU" w:bidi="ru-RU"/>
          <w:w w:val="100"/>
          <w:spacing w:val="0"/>
          <w:color w:val="000000"/>
          <w:position w:val="0"/>
        </w:rPr>
        <w:t>ГКУ «Технический центр Департамента культуры»: Сотниковой И.В. (по доверенности от 02.08.2022 № ТЦ-15-78/22),</w:t>
      </w:r>
    </w:p>
    <w:p>
      <w:pPr>
        <w:pStyle w:val="Style13"/>
        <w:widowControl w:val="0"/>
        <w:keepNext w:val="0"/>
        <w:keepLines w:val="0"/>
        <w:shd w:val="clear" w:color="auto" w:fill="auto"/>
        <w:bidi w:val="0"/>
        <w:spacing w:before="0" w:after="296"/>
        <w:ind w:left="0" w:right="20" w:firstLine="700"/>
      </w:pPr>
      <w:r>
        <w:rPr>
          <w:lang w:val="ru-RU" w:eastAsia="ru-RU" w:bidi="ru-RU"/>
          <w:w w:val="100"/>
          <w:spacing w:val="0"/>
          <w:color w:val="000000"/>
          <w:position w:val="0"/>
        </w:rPr>
        <w:t>ООО «ИнтерСтрой»: Пыльнева П.В. (по доверенности от 01.06.2022 №б/н), рассмотрев жалобу ООО «ИнтерСтрой» (далее — Заявитель) на действия ГКУ «Технический центр Департамента культуры города Москвы (далее — Заказчик) при проведении электронного аукциона на право заключения государственного контракта на выполнение работ по текущему ремонту помещений ГБУК г. Москвы «ОКЦ ЗАО», Центральная библиотека № 197 им. А.А.Ахматовой по</w:t>
      </w:r>
    </w:p>
    <w:p>
      <w:pPr>
        <w:pStyle w:val="Style34"/>
        <w:widowControl w:val="0"/>
        <w:keepNext w:val="0"/>
        <w:keepLines w:val="0"/>
        <w:shd w:val="clear" w:color="auto" w:fill="auto"/>
        <w:bidi w:val="0"/>
        <w:jc w:val="left"/>
        <w:spacing w:before="0" w:after="0" w:line="240" w:lineRule="auto"/>
        <w:ind w:left="0" w:right="0" w:firstLine="0"/>
        <w:sectPr>
          <w:type w:val="continuous"/>
          <w:pgSz w:w="11909" w:h="16838"/>
          <w:pgMar w:top="121" w:left="849" w:right="849" w:bottom="371" w:header="0" w:footer="3" w:gutter="0"/>
          <w:rtlGutter w:val="0"/>
          <w:cols w:space="720"/>
          <w:noEndnote/>
          <w:docGrid w:linePitch="360"/>
        </w:sectPr>
      </w:pPr>
      <w:r>
        <w:rPr>
          <w:w w:val="100"/>
          <w:spacing w:val="0"/>
          <w:color w:val="000000"/>
          <w:position w:val="0"/>
        </w:rPr>
        <w:t>002072029859</w:t>
      </w:r>
    </w:p>
    <w:p>
      <w:pPr>
        <w:pStyle w:val="Style13"/>
        <w:widowControl w:val="0"/>
        <w:keepNext w:val="0"/>
        <w:keepLines w:val="0"/>
        <w:shd w:val="clear" w:color="auto" w:fill="auto"/>
        <w:bidi w:val="0"/>
        <w:spacing w:before="0" w:after="349"/>
        <w:ind w:left="20" w:right="20" w:firstLine="0"/>
      </w:pPr>
      <w:r>
        <w:rPr>
          <w:lang w:val="ru-RU" w:eastAsia="ru-RU" w:bidi="ru-RU"/>
          <w:w w:val="100"/>
          <w:spacing w:val="0"/>
          <w:color w:val="000000"/>
          <w:position w:val="0"/>
        </w:rPr>
        <w:t>адресу: ул. Дунаевского, д. 4 (Закупка № 0373200138222000270)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37"/>
        <w:widowControl w:val="0"/>
        <w:keepNext/>
        <w:keepLines/>
        <w:shd w:val="clear" w:color="auto" w:fill="auto"/>
        <w:bidi w:val="0"/>
        <w:spacing w:before="0" w:after="303"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1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аукциона.</w:t>
      </w:r>
    </w:p>
    <w:p>
      <w:pPr>
        <w:pStyle w:val="Style1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08.08.2022 №ЕИ/41045/22, Комиссия Управления установила следующее.</w:t>
      </w:r>
    </w:p>
    <w:p>
      <w:pPr>
        <w:pStyle w:val="Style1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доводам жалобы Заказчиком неправомерно размещен протокол признания участника уклонившимся от заключения контракта от 01.08.2022 №ППУ20_1 в связи с предоставлением в качестве обеспечения исполнения контракта независимой гарантии не соответствующей требованиям аукционной документации.</w:t>
      </w:r>
    </w:p>
    <w:p>
      <w:pPr>
        <w:pStyle w:val="Style1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соответствии с протоколом подведения итогов определения поставщика (подрядчика, исполнителя) от 19.07.2022 №ИЭА1 ООО «ИнтерСтрой» признан победителем аукциона.</w:t>
      </w:r>
    </w:p>
    <w:p>
      <w:pPr>
        <w:pStyle w:val="Style1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ч.1 ст.51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Законом о контрактной системе, с иным участником закупки (далее в настоящей статье - участник закупки, с которым заключается контракт) не ранее чем через десять дней (если Законом о контрактной системе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статьи 51 Закона о контрактной системе, после предоставления участником закупки, с которым заключается контракт, обеспечения исполнения контракта в соответствии с требованиями Закона о контрактной системе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Законом о контрактной системе, обязаны подписать контракт в порядке, установленном статьей 51 Закона о контрактной системе.</w:t>
      </w:r>
    </w:p>
    <w:p>
      <w:pPr>
        <w:pStyle w:val="Style1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п.1 ч.2 ст.51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статьи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Закона о контрактной системе.</w:t>
      </w:r>
    </w:p>
    <w:p>
      <w:pPr>
        <w:pStyle w:val="Style1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силу п.1 ч.3 ст.51 Закона о контрактной системе не позднее пяти рабочих дней, следующих за днем размещения заказчиком в соответствии с ч.2 ст.51 Закона о контрактной системе проекта контракта, участник закупки, с которым заключается контракт,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подписанный проект контракта, а также документ, подтверждающий предоставление обеспечения исполнения контракта в соответствии с Законом о контрактной системе (за исключением случаев, предусмотренных Законом о контрактной системе).</w:t>
      </w:r>
    </w:p>
    <w:p>
      <w:pPr>
        <w:pStyle w:val="Style1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соответствии с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pPr>
        <w:pStyle w:val="Style1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силу ч.3 ст.96 Закона о контрактной системе исполнение контракта, гарантийные обязательства могут обеспечиваться предоставлением независимой гарантии, соответствующей требованиям статьи 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Закона о контрактной системе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Закона о контрактной системе.</w:t>
      </w:r>
    </w:p>
    <w:p>
      <w:pPr>
        <w:pStyle w:val="Style1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силу ч.2 ст.45 Закона о контрактной системе независимая гарантия должна быть безотзывной и должна содержать:</w:t>
      </w:r>
    </w:p>
    <w:p>
      <w:pPr>
        <w:pStyle w:val="Style13"/>
        <w:numPr>
          <w:ilvl w:val="0"/>
          <w:numId w:val="1"/>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сумму независимой гарантии, подлежащую уплате гарантом заказчику в установленных частью 15 статьи 44 Закона о контрактной системе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статьей 96 Закона о контрактной системе, а также идентификационный код закупки, при осуществлении которой предоставляется такая независимая гарантия;</w:t>
      </w:r>
    </w:p>
    <w:p>
      <w:pPr>
        <w:pStyle w:val="Style13"/>
        <w:numPr>
          <w:ilvl w:val="0"/>
          <w:numId w:val="1"/>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обязательства принципала, надлежащее исполнение которых обеспечивается независимой гарантией;</w:t>
      </w:r>
    </w:p>
    <w:p>
      <w:pPr>
        <w:pStyle w:val="Style13"/>
        <w:numPr>
          <w:ilvl w:val="0"/>
          <w:numId w:val="1"/>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pPr>
        <w:pStyle w:val="Style13"/>
        <w:numPr>
          <w:ilvl w:val="0"/>
          <w:numId w:val="1"/>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13"/>
        <w:numPr>
          <w:ilvl w:val="0"/>
          <w:numId w:val="1"/>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срок действия независимой гарантии с учетом требований статей 44 и 96 Закона о контрактной системе;</w:t>
      </w:r>
    </w:p>
    <w:p>
      <w:pPr>
        <w:pStyle w:val="Style13"/>
        <w:numPr>
          <w:ilvl w:val="0"/>
          <w:numId w:val="1"/>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pPr>
        <w:pStyle w:val="Style13"/>
        <w:numPr>
          <w:ilvl w:val="0"/>
          <w:numId w:val="1"/>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установленный Правительством Российской Федерации перечень документов, предоставляемых заказчиком гаранту одновременно с требованием об осуществлении уплаты денежной суммы по независимой гарантии.</w:t>
      </w:r>
    </w:p>
    <w:p>
      <w:pPr>
        <w:pStyle w:val="Style1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п.1 ч.6 ст.51 Закона о контрактной системе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статьи 51 Закона о контрактной системе, а также случая, если таким участником закупки в срок, установленный частью 3 статьи 51 Закона о контрактной системе, не выполнены требования пункта 3 части 3 статьи 51 Закона о контрактной системе) и частью 5 статьи 51 Закона о контрактной системе такой участник закупки считается уклонившимся от заключения контракта.</w:t>
      </w:r>
    </w:p>
    <w:p>
      <w:pPr>
        <w:pStyle w:val="Style13"/>
        <w:tabs>
          <w:tab w:leader="none" w:pos="6754" w:val="lef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Комиссией Управления установлено, что победителем аукциона в адрес Заказчика направлен подписанный контракт и обеспечение исполнения контракта в виде независимой гарантии от 28.07.2022</w:t>
        <w:tab/>
      </w:r>
      <w:r>
        <w:rPr>
          <w:lang w:val="en-US" w:eastAsia="en-US" w:bidi="en-US"/>
          <w:w w:val="100"/>
          <w:spacing w:val="0"/>
          <w:color w:val="000000"/>
          <w:position w:val="0"/>
        </w:rPr>
        <w:t xml:space="preserve">№893257-VBC, </w:t>
      </w:r>
      <w:r>
        <w:rPr>
          <w:lang w:val="ru-RU" w:eastAsia="ru-RU" w:bidi="ru-RU"/>
          <w:w w:val="100"/>
          <w:spacing w:val="0"/>
          <w:color w:val="000000"/>
          <w:position w:val="0"/>
        </w:rPr>
        <w:t>выданной</w:t>
      </w:r>
    </w:p>
    <w:p>
      <w:pPr>
        <w:pStyle w:val="Style13"/>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ПАО «Росбанк» (далее — Независимая гарантия).</w:t>
      </w:r>
    </w:p>
    <w:p>
      <w:pPr>
        <w:pStyle w:val="Style1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Комиссия Управления отмечает, что пунктом 20.2 Информационной карты установлено, в том числе: «Независимая гарантия должна быть безотзывной и должна содержать обязательства Гаранта выплатить Бенефициару сумму Гарантии</w:t>
      </w:r>
    </w:p>
    <w:p>
      <w:pPr>
        <w:pStyle w:val="Style13"/>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или ее часть, а именно:</w:t>
      </w:r>
    </w:p>
    <w:p>
      <w:pPr>
        <w:pStyle w:val="Style13"/>
        <w:numPr>
          <w:ilvl w:val="0"/>
          <w:numId w:val="3"/>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обязательство уплатить сумму неустойки (штрафа, пеней) предусмотренных контрактом;</w:t>
      </w:r>
    </w:p>
    <w:p>
      <w:pPr>
        <w:pStyle w:val="Style13"/>
        <w:numPr>
          <w:ilvl w:val="0"/>
          <w:numId w:val="3"/>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обязательство возместить убытки, понесенные Заказчиком в связи с неисполнением или ненадлежащим исполнением Подрядчиком своих обязательств по Контракту;</w:t>
      </w:r>
    </w:p>
    <w:p>
      <w:pPr>
        <w:pStyle w:val="Style13"/>
        <w:numPr>
          <w:ilvl w:val="0"/>
          <w:numId w:val="3"/>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обязательство уплатить сумму в размере авансового платежа (если выплата авансового платежа предусмотрена условиями контракта) при условии если бенефициаром предъявлено требование о возврате авансового платежа принципалу и оно им не выполнено.».</w:t>
      </w:r>
    </w:p>
    <w:p>
      <w:pPr>
        <w:pStyle w:val="Style1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При этом, в независимой гарантии указано в частности следующее: «Обязательство Гаранта по выплате Суммы Гарантии или ее части наступает в случае неисполнения или ненадлежащего исполнения принципалом всех своих обязательств по Контракта или любого из обязательств Принципала по Контракту в отдельности в предусмотренные контрактом сроки или в случае расторжения контракта по причинам, связанным с неисполнением или ненадлежащим исполнением Контракта Принципалом».</w:t>
      </w:r>
    </w:p>
    <w:p>
      <w:pPr>
        <w:pStyle w:val="Style13"/>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Согласно п.2 ст. 15 ГК РФ 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pPr>
        <w:pStyle w:val="Style13"/>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 xml:space="preserve">Вместе с тем в независимой гарантии отсутствует обязательство возместить </w:t>
      </w:r>
      <w:r>
        <w:rPr>
          <w:rStyle w:val="CharStyle39"/>
        </w:rPr>
        <w:t>убытки,</w:t>
      </w:r>
      <w:r>
        <w:rPr>
          <w:lang w:val="ru-RU" w:eastAsia="ru-RU" w:bidi="ru-RU"/>
          <w:w w:val="100"/>
          <w:spacing w:val="0"/>
          <w:color w:val="000000"/>
          <w:position w:val="0"/>
        </w:rPr>
        <w:t xml:space="preserve"> понесенные Заказчиком в связи с неисполнением или ненадлежащим исполнением Подрядчиком своих обязательств по Контракту.</w:t>
      </w:r>
    </w:p>
    <w:p>
      <w:pPr>
        <w:pStyle w:val="Style13"/>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При этом на заседании Комиссии установлено, что положения Извещения о проведении электронного аукциона от 08.07.2022 №0373200138222000270 в настоящем случае Заявителем ни в административном, ни в судебном порядке не оспаривались. В свою очередь, Заявитель, подав заявку на участие в закупочной процедуре, согласился со всеми условиями извещения о проведении электронного аукциона и, как следствие, принял на себя все риски несоответствия представленного им обеспечения исполнения контракта требованиям извещения о проведении электронного аукциона.</w:t>
      </w:r>
    </w:p>
    <w:p>
      <w:pPr>
        <w:pStyle w:val="Style13"/>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Согласно п. 2 ч. 6 ст. 45 Закона о контрактной системе основанием для отказа в принятии независимой гарантии заказчиком является несоответствие независимой гарантии требованиям, предусмотренным частями 2, 3 и 8.2 Закона о контрактной системе.</w:t>
      </w:r>
    </w:p>
    <w:p>
      <w:pPr>
        <w:pStyle w:val="Style13"/>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3"/>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На заседании Комиссии Управления представитель Заявителя пояснил, что несмотря на признание Заказчиком независимой гарантии не соответствующей требования извещения, Заявитель 01.08.2022 произвел зачисление денежных средств на счет Заказчика в качестве обеспечения исполнения контракта, что соответствует положениям ст. 51 Закона о контрактной системе.</w:t>
      </w:r>
    </w:p>
    <w:p>
      <w:pPr>
        <w:pStyle w:val="Style13"/>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Вместе с тем Комиссия Управления отмечает, что положения ст.51 Закона о контрактной системе предусматривают одномоментность подписания государственного контракта и направления документа, подтверждающего обеспечение исполнения государственного контракта, без возможности замены обеспечения на этапе подписания государственного контракта или направления документов вне Единой информационной системе в сфере закупок, в которой согласно положениям Закона о контрактной системе осуществляется электронный документооборот, в том числе на этапе подписания государственного контракта.</w:t>
      </w:r>
    </w:p>
    <w:p>
      <w:pPr>
        <w:pStyle w:val="Style13"/>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Таким образом, Комиссия Управления приходит к выводу, что у Заказчика имелись основания для признания независимой гарантии не соответствующей требованиям извещения о проведении электронного аукциона, и принятие Заказчиком решения о признании участника уклонившимся от заключения контракта по основанию, указанному в протоколе, не противоречит положениям Закона о контрактной системе.</w:t>
      </w:r>
      <w:r>
        <w:br w:type="page"/>
      </w:r>
    </w:p>
    <w:p>
      <w:pPr>
        <w:pStyle w:val="Style13"/>
        <w:widowControl w:val="0"/>
        <w:keepNext w:val="0"/>
        <w:keepLines w:val="0"/>
        <w:shd w:val="clear" w:color="auto" w:fill="auto"/>
        <w:bidi w:val="0"/>
        <w:spacing w:before="0" w:after="349"/>
        <w:ind w:left="10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31"/>
        <w:widowControl w:val="0"/>
        <w:keepNext w:val="0"/>
        <w:keepLines w:val="0"/>
        <w:shd w:val="clear" w:color="auto" w:fill="auto"/>
        <w:bidi w:val="0"/>
        <w:spacing w:before="0" w:after="299" w:line="260" w:lineRule="exact"/>
        <w:ind w:left="0" w:right="80" w:firstLine="0"/>
      </w:pPr>
      <w:r>
        <w:rPr>
          <w:lang w:val="ru-RU" w:eastAsia="ru-RU" w:bidi="ru-RU"/>
          <w:w w:val="100"/>
          <w:spacing w:val="0"/>
          <w:color w:val="000000"/>
          <w:position w:val="0"/>
        </w:rPr>
        <w:t>Р Е Ш И Л А:</w:t>
      </w:r>
    </w:p>
    <w:p>
      <w:pPr>
        <w:pStyle w:val="Style13"/>
        <w:numPr>
          <w:ilvl w:val="0"/>
          <w:numId w:val="5"/>
        </w:numPr>
        <w:widowControl w:val="0"/>
        <w:keepNext w:val="0"/>
        <w:keepLines w:val="0"/>
        <w:shd w:val="clear" w:color="auto" w:fill="auto"/>
        <w:bidi w:val="0"/>
        <w:spacing w:before="0" w:after="0" w:line="326" w:lineRule="exact"/>
        <w:ind w:left="100" w:right="20" w:firstLine="720"/>
      </w:pPr>
      <w:r>
        <w:rPr>
          <w:lang w:val="ru-RU" w:eastAsia="ru-RU" w:bidi="ru-RU"/>
          <w:w w:val="100"/>
          <w:spacing w:val="0"/>
          <w:color w:val="000000"/>
          <w:position w:val="0"/>
        </w:rPr>
        <w:t xml:space="preserve"> Признать жалобу ООО «ИнтерСтрой» на действия ГКУ «Технический центр Департамента культуры» необоснованной.</w:t>
      </w:r>
    </w:p>
    <w:p>
      <w:pPr>
        <w:pStyle w:val="Style13"/>
        <w:numPr>
          <w:ilvl w:val="0"/>
          <w:numId w:val="5"/>
        </w:numPr>
        <w:widowControl w:val="0"/>
        <w:keepNext w:val="0"/>
        <w:keepLines w:val="0"/>
        <w:shd w:val="clear" w:color="auto" w:fill="auto"/>
        <w:bidi w:val="0"/>
        <w:spacing w:before="0" w:after="296"/>
        <w:ind w:left="100" w:right="20" w:firstLine="72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от 08.08.2022 №ЕИ/41045/22.</w:t>
      </w:r>
    </w:p>
    <w:p>
      <w:pPr>
        <w:pStyle w:val="Style13"/>
        <w:widowControl w:val="0"/>
        <w:keepNext w:val="0"/>
        <w:keepLines w:val="0"/>
        <w:shd w:val="clear" w:color="auto" w:fill="auto"/>
        <w:bidi w:val="0"/>
        <w:spacing w:before="0" w:after="0" w:line="326" w:lineRule="exact"/>
        <w:ind w:left="10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13"/>
        <w:framePr w:w="2128" w:h="969" w:wrap="around" w:vAnchor="text" w:hAnchor="margin" w:x="8159" w:y="1222"/>
        <w:widowControl w:val="0"/>
        <w:keepNext w:val="0"/>
        <w:keepLines w:val="0"/>
        <w:shd w:val="clear" w:color="auto" w:fill="auto"/>
        <w:bidi w:val="0"/>
        <w:jc w:val="right"/>
        <w:spacing w:before="0" w:after="0"/>
        <w:ind w:left="120" w:right="0" w:firstLine="0"/>
      </w:pPr>
      <w:r>
        <w:rPr>
          <w:rStyle w:val="CharStyle36"/>
          <w:spacing w:val="0"/>
        </w:rPr>
        <w:t>А.А. Кутейников А.А. Матюшенко Э.З. Гугава</w:t>
      </w:r>
    </w:p>
    <w:p>
      <w:pPr>
        <w:pStyle w:val="Style13"/>
        <w:widowControl w:val="0"/>
        <w:keepNext w:val="0"/>
        <w:keepLines w:val="0"/>
        <w:shd w:val="clear" w:color="auto" w:fill="auto"/>
        <w:bidi w:val="0"/>
        <w:jc w:val="left"/>
        <w:spacing w:before="0" w:after="902" w:line="260" w:lineRule="exact"/>
        <w:ind w:left="100" w:right="0" w:firstLine="0"/>
      </w:pPr>
      <w:r>
        <w:rPr>
          <w:lang w:val="ru-RU" w:eastAsia="ru-RU" w:bidi="ru-RU"/>
          <w:w w:val="100"/>
          <w:spacing w:val="0"/>
          <w:color w:val="000000"/>
          <w:position w:val="0"/>
        </w:rPr>
        <w:t>гл. 24 АПК РФ.</w:t>
      </w:r>
    </w:p>
    <w:p>
      <w:pPr>
        <w:pStyle w:val="Style13"/>
        <w:widowControl w:val="0"/>
        <w:keepNext w:val="0"/>
        <w:keepLines w:val="0"/>
        <w:shd w:val="clear" w:color="auto" w:fill="auto"/>
        <w:bidi w:val="0"/>
        <w:jc w:val="left"/>
        <w:spacing w:before="0" w:after="7370" w:line="317" w:lineRule="exact"/>
        <w:ind w:left="100" w:right="5160" w:firstLine="0"/>
      </w:pPr>
      <w:r>
        <w:rPr>
          <w:lang w:val="ru-RU" w:eastAsia="ru-RU" w:bidi="ru-RU"/>
          <w:w w:val="100"/>
          <w:spacing w:val="0"/>
          <w:color w:val="000000"/>
          <w:position w:val="0"/>
        </w:rPr>
        <w:t>Председательствующий Члены Комиссии:</w:t>
      </w:r>
    </w:p>
    <w:p>
      <w:pPr>
        <w:pStyle w:val="Style40"/>
        <w:widowControl w:val="0"/>
        <w:keepNext w:val="0"/>
        <w:keepLines w:val="0"/>
        <w:shd w:val="clear" w:color="auto" w:fill="auto"/>
        <w:bidi w:val="0"/>
        <w:jc w:val="left"/>
        <w:spacing w:before="0" w:after="0"/>
        <w:ind w:left="100" w:right="5160" w:firstLine="0"/>
      </w:pPr>
      <w:r>
        <w:rPr>
          <w:lang w:val="ru-RU" w:eastAsia="ru-RU" w:bidi="ru-RU"/>
          <w:w w:val="100"/>
          <w:spacing w:val="0"/>
          <w:color w:val="000000"/>
          <w:position w:val="0"/>
        </w:rPr>
        <w:t>Исп.Кутейников А.А. тел.8(495)784-75-05</w:t>
      </w:r>
    </w:p>
    <w:sectPr>
      <w:pgSz w:w="11909" w:h="16838"/>
      <w:pgMar w:top="1262" w:left="818" w:right="794" w:bottom="1132"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9pt;margin-top:795.6pt;width:56.9pt;height:7.9pt;z-index:-188744063;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2022-45695</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2.95pt;margin-top:806.pt;width:56.65pt;height:7.9pt;z-index:-188744062;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2022-45695</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9pt;margin-top:38.15pt;width:5.3pt;height:7.9pt;z-index:-188744064;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fldSimple w:instr=" PAGE \* MERGEFORMAT ">
                  <w:r>
                    <w:rPr>
                      <w:rStyle w:val="CharStyle8"/>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_"/>
    <w:basedOn w:val="DefaultParagraphFont"/>
    <w:link w:val="Style3"/>
    <w:rPr>
      <w:b w:val="0"/>
      <w:bCs w:val="0"/>
      <w:i w:val="0"/>
      <w:iCs w:val="0"/>
      <w:u w:val="none"/>
      <w:strike w:val="0"/>
      <w:smallCaps w:val="0"/>
      <w:sz w:val="12"/>
      <w:szCs w:val="12"/>
      <w:w w:val="200"/>
    </w:rPr>
  </w:style>
  <w:style w:type="character" w:customStyle="1" w:styleId="CharStyle5">
    <w:name w:val="Подпись к картинке"/>
    <w:basedOn w:val="CharStyle4"/>
    <w:rPr>
      <w:lang w:val="ru-RU" w:eastAsia="ru-RU" w:bidi="ru-RU"/>
      <w:rFonts w:ascii="Courier New" w:eastAsia="Courier New" w:hAnsi="Courier New" w:cs="Courier New"/>
      <w:spacing w:val="0"/>
      <w:color w:val="000000"/>
      <w:position w:val="0"/>
    </w:rPr>
  </w:style>
  <w:style w:type="character" w:customStyle="1" w:styleId="CharStyle7">
    <w:name w:val="Колонтитул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Колонтитул"/>
    <w:basedOn w:val="CharStyle7"/>
    <w:rPr>
      <w:lang w:val="ru-RU" w:eastAsia="ru-RU" w:bidi="ru-RU"/>
      <w:w w:val="100"/>
      <w:spacing w:val="0"/>
      <w:color w:val="000000"/>
      <w:position w:val="0"/>
    </w:rPr>
  </w:style>
  <w:style w:type="character" w:customStyle="1" w:styleId="CharStyle10">
    <w:name w:val="Основной текст (2)_"/>
    <w:basedOn w:val="DefaultParagraphFont"/>
    <w:link w:val="Style9"/>
    <w:rPr>
      <w:b/>
      <w:bCs/>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2">
    <w:name w:val="Основной текст (2)"/>
    <w:basedOn w:val="CharStyle10"/>
    <w:rPr>
      <w:lang w:val="ru-RU" w:eastAsia="ru-RU" w:bidi="ru-RU"/>
      <w:u w:val="single"/>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5) Exact"/>
    <w:basedOn w:val="DefaultParagraphFont"/>
    <w:link w:val="Style15"/>
    <w:rPr>
      <w:b w:val="0"/>
      <w:bCs w:val="0"/>
      <w:i w:val="0"/>
      <w:iCs w:val="0"/>
      <w:u w:val="none"/>
      <w:strike w:val="0"/>
      <w:smallCaps w:val="0"/>
      <w:sz w:val="16"/>
      <w:szCs w:val="16"/>
      <w:rFonts w:ascii="Times New Roman" w:eastAsia="Times New Roman" w:hAnsi="Times New Roman" w:cs="Times New Roman"/>
      <w:spacing w:val="23"/>
    </w:rPr>
  </w:style>
  <w:style w:type="character" w:customStyle="1" w:styleId="CharStyle17">
    <w:name w:val="Основной текст (5) Exact"/>
    <w:basedOn w:val="CharStyle16"/>
    <w:rPr>
      <w:lang w:val="ru-RU" w:eastAsia="ru-RU" w:bidi="ru-RU"/>
      <w:w w:val="100"/>
      <w:color w:val="000000"/>
      <w:position w:val="0"/>
    </w:rPr>
  </w:style>
  <w:style w:type="character" w:customStyle="1" w:styleId="CharStyle19">
    <w:name w:val="Основной текст (3)_"/>
    <w:basedOn w:val="DefaultParagraphFont"/>
    <w:link w:val="Style18"/>
    <w:rPr>
      <w:b w:val="0"/>
      <w:bCs w:val="0"/>
      <w:i w:val="0"/>
      <w:iCs w:val="0"/>
      <w:u w:val="none"/>
      <w:strike w:val="0"/>
      <w:smallCaps w:val="0"/>
      <w:sz w:val="18"/>
      <w:szCs w:val="18"/>
      <w:rFonts w:ascii="Times New Roman" w:eastAsia="Times New Roman" w:hAnsi="Times New Roman" w:cs="Times New Roman"/>
    </w:rPr>
  </w:style>
  <w:style w:type="character" w:customStyle="1" w:styleId="CharStyle20">
    <w:name w:val="Основной текст (3)"/>
    <w:basedOn w:val="CharStyle19"/>
    <w:rPr>
      <w:lang w:val="ru-RU" w:eastAsia="ru-RU" w:bidi="ru-RU"/>
      <w:w w:val="100"/>
      <w:spacing w:val="0"/>
      <w:color w:val="000000"/>
      <w:position w:val="0"/>
    </w:rPr>
  </w:style>
  <w:style w:type="character" w:customStyle="1" w:styleId="CharStyle21">
    <w:name w:val="Основной текст (3)"/>
    <w:basedOn w:val="CharStyle19"/>
    <w:rPr>
      <w:lang w:val="en-US" w:eastAsia="en-US" w:bidi="en-US"/>
      <w:u w:val="single"/>
      <w:w w:val="100"/>
      <w:spacing w:val="0"/>
      <w:color w:val="000000"/>
      <w:position w:val="0"/>
    </w:rPr>
  </w:style>
  <w:style w:type="character" w:customStyle="1" w:styleId="CharStyle23">
    <w:name w:val="Основной текст (4)_"/>
    <w:basedOn w:val="DefaultParagraphFont"/>
    <w:link w:val="Style22"/>
    <w:rPr>
      <w:b w:val="0"/>
      <w:bCs w:val="0"/>
      <w:i w:val="0"/>
      <w:iCs w:val="0"/>
      <w:u w:val="none"/>
      <w:strike w:val="0"/>
      <w:smallCaps w:val="0"/>
      <w:sz w:val="17"/>
      <w:szCs w:val="17"/>
      <w:rFonts w:ascii="Segoe UI" w:eastAsia="Segoe UI" w:hAnsi="Segoe UI" w:cs="Segoe UI"/>
    </w:rPr>
  </w:style>
  <w:style w:type="character" w:customStyle="1" w:styleId="CharStyle24">
    <w:name w:val="Основной текст (4)"/>
    <w:basedOn w:val="CharStyle23"/>
    <w:rPr>
      <w:lang w:val="ru-RU" w:eastAsia="ru-RU" w:bidi="ru-RU"/>
      <w:w w:val="100"/>
      <w:spacing w:val="0"/>
      <w:color w:val="000000"/>
      <w:position w:val="0"/>
    </w:rPr>
  </w:style>
  <w:style w:type="character" w:customStyle="1" w:styleId="CharStyle26">
    <w:name w:val="Основной текст (8) Exact"/>
    <w:basedOn w:val="DefaultParagraphFont"/>
    <w:link w:val="Style25"/>
    <w:rPr>
      <w:b/>
      <w:bCs/>
      <w:i w:val="0"/>
      <w:iCs w:val="0"/>
      <w:u w:val="none"/>
      <w:strike w:val="0"/>
      <w:smallCaps w:val="0"/>
      <w:sz w:val="42"/>
      <w:szCs w:val="42"/>
    </w:rPr>
  </w:style>
  <w:style w:type="character" w:customStyle="1" w:styleId="CharStyle27">
    <w:name w:val="Основной текст (8) Exact"/>
    <w:basedOn w:val="CharStyle26"/>
    <w:rPr>
      <w:lang w:val="ru-RU" w:eastAsia="ru-RU" w:bidi="ru-RU"/>
      <w:rFonts w:ascii="Courier New" w:eastAsia="Courier New" w:hAnsi="Courier New" w:cs="Courier New"/>
      <w:w w:val="100"/>
      <w:spacing w:val="0"/>
      <w:color w:val="000000"/>
      <w:position w:val="0"/>
    </w:rPr>
  </w:style>
  <w:style w:type="character" w:customStyle="1" w:styleId="CharStyle29">
    <w:name w:val="Основной текст (6)_"/>
    <w:basedOn w:val="DefaultParagraphFont"/>
    <w:link w:val="Style28"/>
    <w:rPr>
      <w:b w:val="0"/>
      <w:bCs w:val="0"/>
      <w:i w:val="0"/>
      <w:iCs w:val="0"/>
      <w:u w:val="none"/>
      <w:strike w:val="0"/>
      <w:smallCaps w:val="0"/>
      <w:sz w:val="54"/>
      <w:szCs w:val="54"/>
      <w:rFonts w:ascii="Times New Roman" w:eastAsia="Times New Roman" w:hAnsi="Times New Roman" w:cs="Times New Roman"/>
    </w:rPr>
  </w:style>
  <w:style w:type="character" w:customStyle="1" w:styleId="CharStyle30">
    <w:name w:val="Основной текст (6)"/>
    <w:basedOn w:val="CharStyle29"/>
    <w:rPr>
      <w:lang w:val="ru-RU" w:eastAsia="ru-RU" w:bidi="ru-RU"/>
      <w:w w:val="100"/>
      <w:spacing w:val="0"/>
      <w:color w:val="000000"/>
      <w:position w:val="0"/>
    </w:rPr>
  </w:style>
  <w:style w:type="character" w:customStyle="1" w:styleId="CharStyle32">
    <w:name w:val="Основной текст (7)_"/>
    <w:basedOn w:val="DefaultParagraphFont"/>
    <w:link w:val="Style31"/>
    <w:rPr>
      <w:b/>
      <w:bCs/>
      <w:i w:val="0"/>
      <w:iCs w:val="0"/>
      <w:u w:val="none"/>
      <w:strike w:val="0"/>
      <w:smallCaps w:val="0"/>
      <w:sz w:val="26"/>
      <w:szCs w:val="26"/>
      <w:rFonts w:ascii="Times New Roman" w:eastAsia="Times New Roman" w:hAnsi="Times New Roman" w:cs="Times New Roman"/>
    </w:rPr>
  </w:style>
  <w:style w:type="character" w:customStyle="1" w:styleId="CharStyle33">
    <w:name w:val="Основной текст (7)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5">
    <w:name w:val="Штрих-код (2)_"/>
    <w:basedOn w:val="DefaultParagraphFont"/>
    <w:link w:val="Style34"/>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38">
    <w:name w:val="Заголовок №1_"/>
    <w:basedOn w:val="DefaultParagraphFont"/>
    <w:link w:val="Style37"/>
    <w:rPr>
      <w:b/>
      <w:bCs/>
      <w:i w:val="0"/>
      <w:iCs w:val="0"/>
      <w:u w:val="none"/>
      <w:strike w:val="0"/>
      <w:smallCaps w:val="0"/>
      <w:sz w:val="26"/>
      <w:szCs w:val="26"/>
      <w:rFonts w:ascii="Times New Roman" w:eastAsia="Times New Roman" w:hAnsi="Times New Roman" w:cs="Times New Roman"/>
    </w:rPr>
  </w:style>
  <w:style w:type="character" w:customStyle="1" w:styleId="CharStyle39">
    <w:name w:val="Основной текст + Курсив"/>
    <w:basedOn w:val="CharStyle14"/>
    <w:rPr>
      <w:lang w:val="ru-RU" w:eastAsia="ru-RU" w:bidi="ru-RU"/>
      <w:i/>
      <w:iCs/>
      <w:w w:val="100"/>
      <w:spacing w:val="0"/>
      <w:color w:val="000000"/>
      <w:position w:val="0"/>
    </w:rPr>
  </w:style>
  <w:style w:type="character" w:customStyle="1" w:styleId="CharStyle41">
    <w:name w:val="Основной текст (9)_"/>
    <w:basedOn w:val="DefaultParagraphFont"/>
    <w:link w:val="Style40"/>
    <w:rPr>
      <w:b/>
      <w:bCs/>
      <w:i w:val="0"/>
      <w:iCs w:val="0"/>
      <w:u w:val="none"/>
      <w:strike w:val="0"/>
      <w:smallCaps w:val="0"/>
      <w:sz w:val="20"/>
      <w:szCs w:val="20"/>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spacing w:line="0" w:lineRule="exact"/>
    </w:pPr>
    <w:rPr>
      <w:b w:val="0"/>
      <w:bCs w:val="0"/>
      <w:i w:val="0"/>
      <w:iCs w:val="0"/>
      <w:u w:val="none"/>
      <w:strike w:val="0"/>
      <w:smallCaps w:val="0"/>
      <w:sz w:val="12"/>
      <w:szCs w:val="12"/>
      <w:w w:val="200"/>
    </w:rPr>
  </w:style>
  <w:style w:type="paragraph" w:customStyle="1" w:styleId="Style6">
    <w:name w:val="Колонтитул"/>
    <w:basedOn w:val="Normal"/>
    <w:link w:val="CharStyle7"/>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after="120"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jc w:val="both"/>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23"/>
    </w:rPr>
  </w:style>
  <w:style w:type="paragraph" w:customStyle="1" w:styleId="Style18">
    <w:name w:val="Основной текст (3)"/>
    <w:basedOn w:val="Normal"/>
    <w:link w:val="CharStyle19"/>
    <w:pPr>
      <w:widowControl w:val="0"/>
      <w:shd w:val="clear" w:color="auto" w:fill="FFFFFF"/>
      <w:jc w:val="center"/>
      <w:spacing w:before="240"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2">
    <w:name w:val="Основной текст (4)"/>
    <w:basedOn w:val="Normal"/>
    <w:link w:val="CharStyle23"/>
    <w:pPr>
      <w:widowControl w:val="0"/>
      <w:shd w:val="clear" w:color="auto" w:fill="FFFFFF"/>
      <w:spacing w:before="240" w:after="300" w:line="0" w:lineRule="exact"/>
    </w:pPr>
    <w:rPr>
      <w:b w:val="0"/>
      <w:bCs w:val="0"/>
      <w:i w:val="0"/>
      <w:iCs w:val="0"/>
      <w:u w:val="none"/>
      <w:strike w:val="0"/>
      <w:smallCaps w:val="0"/>
      <w:sz w:val="17"/>
      <w:szCs w:val="17"/>
      <w:rFonts w:ascii="Segoe UI" w:eastAsia="Segoe UI" w:hAnsi="Segoe UI" w:cs="Segoe UI"/>
    </w:rPr>
  </w:style>
  <w:style w:type="paragraph" w:customStyle="1" w:styleId="Style25">
    <w:name w:val="Основной текст (8)"/>
    <w:basedOn w:val="Normal"/>
    <w:link w:val="CharStyle26"/>
    <w:pPr>
      <w:widowControl w:val="0"/>
      <w:shd w:val="clear" w:color="auto" w:fill="FFFFFF"/>
      <w:spacing w:line="0" w:lineRule="exact"/>
    </w:pPr>
    <w:rPr>
      <w:b/>
      <w:bCs/>
      <w:i w:val="0"/>
      <w:iCs w:val="0"/>
      <w:u w:val="none"/>
      <w:strike w:val="0"/>
      <w:smallCaps w:val="0"/>
      <w:sz w:val="42"/>
      <w:szCs w:val="42"/>
    </w:rPr>
  </w:style>
  <w:style w:type="paragraph" w:customStyle="1" w:styleId="Style28">
    <w:name w:val="Основной текст (6)"/>
    <w:basedOn w:val="Normal"/>
    <w:link w:val="CharStyle29"/>
    <w:pPr>
      <w:widowControl w:val="0"/>
      <w:shd w:val="clear" w:color="auto" w:fill="FFFFFF"/>
      <w:spacing w:after="780" w:line="0" w:lineRule="exact"/>
    </w:pPr>
    <w:rPr>
      <w:b w:val="0"/>
      <w:bCs w:val="0"/>
      <w:i w:val="0"/>
      <w:iCs w:val="0"/>
      <w:u w:val="none"/>
      <w:strike w:val="0"/>
      <w:smallCaps w:val="0"/>
      <w:sz w:val="54"/>
      <w:szCs w:val="54"/>
      <w:rFonts w:ascii="Times New Roman" w:eastAsia="Times New Roman" w:hAnsi="Times New Roman" w:cs="Times New Roman"/>
    </w:rPr>
  </w:style>
  <w:style w:type="paragraph" w:customStyle="1" w:styleId="Style31">
    <w:name w:val="Основной текст (7)"/>
    <w:basedOn w:val="Normal"/>
    <w:link w:val="CharStyle32"/>
    <w:pPr>
      <w:widowControl w:val="0"/>
      <w:shd w:val="clear" w:color="auto" w:fill="FFFFFF"/>
      <w:jc w:val="center"/>
      <w:spacing w:before="7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4">
    <w:name w:val="Штрих-код (2)"/>
    <w:basedOn w:val="Normal"/>
    <w:link w:val="CharStyle35"/>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7">
    <w:name w:val="Заголовок №1"/>
    <w:basedOn w:val="Normal"/>
    <w:link w:val="CharStyle38"/>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0">
    <w:name w:val="Основной текст (9)"/>
    <w:basedOn w:val="Normal"/>
    <w:link w:val="CharStyle41"/>
    <w:pPr>
      <w:widowControl w:val="0"/>
      <w:shd w:val="clear" w:color="auto" w:fill="FFFFFF"/>
      <w:spacing w:before="7320" w:line="254"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