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spacing w:before="0" w:after="308" w:line="260" w:lineRule="exact"/>
        <w:ind w:left="20" w:right="0" w:firstLine="0"/>
      </w:pPr>
      <w:r>
        <w:rPr>
          <w:lang w:val="ru-RU" w:eastAsia="ru-RU" w:bidi="ru-RU"/>
          <w:w w:val="100"/>
          <w:spacing w:val="0"/>
          <w:color w:val="000000"/>
          <w:position w:val="0"/>
        </w:rPr>
        <w:t>ФГБУ «УЭЗ МИД России»</w:t>
      </w:r>
    </w:p>
    <w:p>
      <w:pPr>
        <w:pStyle w:val="Style20"/>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пл. Смоленская-Сенная, д. 32-34/57/23, стр. 1, Москва, 119200</w:t>
      </w:r>
    </w:p>
    <w:p>
      <w:pPr>
        <w:pStyle w:val="Style20"/>
        <w:widowControl w:val="0"/>
        <w:keepNext w:val="0"/>
        <w:keepLines w:val="0"/>
        <w:shd w:val="clear" w:color="auto" w:fill="auto"/>
        <w:bidi w:val="0"/>
        <w:spacing w:before="0" w:after="307" w:line="260" w:lineRule="exact"/>
        <w:ind w:left="20" w:right="0" w:firstLine="0"/>
      </w:pPr>
      <w:r>
        <w:rPr>
          <w:lang w:val="ru-RU" w:eastAsia="ru-RU" w:bidi="ru-RU"/>
          <w:w w:val="100"/>
          <w:spacing w:val="0"/>
          <w:color w:val="000000"/>
          <w:position w:val="0"/>
        </w:rPr>
        <w:t>ООО «Полимер-Рус»</w:t>
      </w:r>
    </w:p>
    <w:p>
      <w:pPr>
        <w:pStyle w:val="Style20"/>
        <w:widowControl w:val="0"/>
        <w:keepNext w:val="0"/>
        <w:keepLines w:val="0"/>
        <w:shd w:val="clear" w:color="auto" w:fill="auto"/>
        <w:bidi w:val="0"/>
        <w:spacing w:before="0" w:after="0" w:line="317" w:lineRule="exact"/>
        <w:ind w:left="20" w:right="2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4" w:left="885" w:right="1087" w:bottom="340" w:header="0" w:footer="3" w:gutter="0"/>
          <w:rtlGutter w:val="0"/>
          <w:cols w:num="2" w:space="720" w:equalWidth="0">
            <w:col w:w="3941" w:space="1325"/>
            <w:col w:w="4670"/>
          </w:cols>
          <w:noEndnote/>
          <w:docGrid w:linePitch="360"/>
        </w:sectPr>
      </w:pPr>
      <w:r>
        <w:rPr>
          <w:lang w:val="ru-RU" w:eastAsia="ru-RU" w:bidi="ru-RU"/>
          <w:w w:val="100"/>
          <w:spacing w:val="0"/>
          <w:color w:val="000000"/>
          <w:position w:val="0"/>
        </w:rPr>
        <w:t>Волоколамское ш., д. 1, стр. 1, пом. VI, комн.31, г. Москва, 125080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 w:after="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9136" w:val="right"/>
          <w:tab w:leader="none" w:pos="10192"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077/06/106-11650/2022 о нарушении законодательства о контрактной системе 09.08.2022</w:t>
        <w:tab/>
        <w:t>г.</w:t>
        <w:tab/>
        <w:t>Москва</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при участии представителей:</w:t>
      </w:r>
    </w:p>
    <w:p>
      <w:pPr>
        <w:pStyle w:val="Style20"/>
        <w:tabs>
          <w:tab w:leader="none" w:pos="4916" w:val="left"/>
        </w:tabs>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ФГБУ «УЭЗ МИД России»:</w:t>
        <w:tab/>
        <w:t>А.И. Потапова (по дов. №135-01/УЭЗ</w:t>
      </w:r>
    </w:p>
    <w:p>
      <w:pPr>
        <w:pStyle w:val="Style20"/>
        <w:widowControl w:val="0"/>
        <w:keepNext w:val="0"/>
        <w:keepLines w:val="0"/>
        <w:shd w:val="clear" w:color="auto" w:fill="auto"/>
        <w:bidi w:val="0"/>
        <w:jc w:val="left"/>
        <w:spacing w:before="0" w:after="0" w:line="322" w:lineRule="exact"/>
        <w:ind w:left="40" w:right="0" w:firstLine="0"/>
      </w:pPr>
      <w:r>
        <w:rPr>
          <w:lang w:val="ru-RU" w:eastAsia="ru-RU" w:bidi="ru-RU"/>
          <w:w w:val="100"/>
          <w:spacing w:val="0"/>
          <w:color w:val="000000"/>
          <w:position w:val="0"/>
        </w:rPr>
        <w:t>от 03.02.2021),</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ООО «Полимер-Рус»: С.А. Стенина (по дов. №б/н от 19.05.2020),</w:t>
      </w:r>
    </w:p>
    <w:p>
      <w:pPr>
        <w:pStyle w:val="Style22"/>
        <w:framePr w:w="1685" w:h="394" w:wrap="around" w:vAnchor="text" w:hAnchor="margin" w:x="385" w:y="176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000042466987</w:t>
      </w:r>
    </w:p>
    <w:p>
      <w:pPr>
        <w:pStyle w:val="Style20"/>
        <w:widowControl w:val="0"/>
        <w:keepNext w:val="0"/>
        <w:keepLines w:val="0"/>
        <w:shd w:val="clear" w:color="auto" w:fill="auto"/>
        <w:bidi w:val="0"/>
        <w:spacing w:before="0" w:after="116" w:line="322" w:lineRule="exact"/>
        <w:ind w:left="40" w:right="20" w:firstLine="700"/>
      </w:pPr>
      <w:r>
        <w:rPr>
          <w:lang w:val="ru-RU" w:eastAsia="ru-RU" w:bidi="ru-RU"/>
          <w:w w:val="100"/>
          <w:spacing w:val="0"/>
          <w:color w:val="000000"/>
          <w:position w:val="0"/>
        </w:rPr>
        <w:t>рассмотрев жалобу ООО «Полимер-Рус» (далее — Заявитель) на действия ФГБУ «УЭЗ МИД России» (далее — Заказчик) при проведении электронного аукциона на право заключения государственного контракта на выполнение работ по техническому обслуживанию, ремонтно-восстановительным и аварийно</w:t>
        <w:softHyphen/>
        <w:t>техническим работам на лифтах и системах диспетчерского оборудования в зданиях</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59" w:left="818" w:right="852" w:bottom="325" w:header="0" w:footer="3" w:gutter="0"/>
          <w:rtlGutter w:val="0"/>
          <w:cols w:space="720"/>
          <w:noEndnote/>
          <w:docGrid w:linePitch="360"/>
        </w:sectPr>
      </w:pPr>
    </w:p>
    <w:p>
      <w:pPr>
        <w:pStyle w:val="Style20"/>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МИД России (Закупка № 0373100047922000005)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w:t>
      </w:r>
      <w:r>
        <w:rPr>
          <w:rStyle w:val="CharStyle27"/>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28"/>
        <w:widowControl w:val="0"/>
        <w:keepNext/>
        <w:keepLines/>
        <w:shd w:val="clear" w:color="auto" w:fill="auto"/>
        <w:bidi w:val="0"/>
        <w:spacing w:before="0" w:after="308" w:line="260" w:lineRule="exact"/>
        <w:ind w:left="0" w:right="34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03.08.2022 № ЕИ/40306/22 документы и сведения.</w:t>
      </w:r>
    </w:p>
    <w:p>
      <w:pPr>
        <w:pStyle w:val="Style20"/>
        <w:numPr>
          <w:ilvl w:val="0"/>
          <w:numId w:val="1"/>
        </w:numPr>
        <w:tabs>
          <w:tab w:leader="none" w:pos="1316" w:val="left"/>
        </w:tabs>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В составе жалобы Заявитель указывает на то, что в извещении о проведении электронного аукциона неправомерно установлено требование к участникам закупки о наличии действующей лицензии на осуществление работ, связанных с использованием сведений, составляющих государственную тайну, выданной Федеральной службой безопасности Российской Федерации.</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П.12 ч.1 ст.42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В соответствии с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20"/>
        <w:widowControl w:val="0"/>
        <w:keepNext w:val="0"/>
        <w:keepLines w:val="0"/>
        <w:shd w:val="clear" w:color="auto" w:fill="auto"/>
        <w:bidi w:val="0"/>
        <w:spacing w:before="0" w:after="0" w:line="322" w:lineRule="exact"/>
        <w:ind w:left="20" w:right="0" w:firstLine="880"/>
      </w:pPr>
      <w:r>
        <w:rPr>
          <w:lang w:val="ru-RU" w:eastAsia="ru-RU" w:bidi="ru-RU"/>
          <w:w w:val="100"/>
          <w:spacing w:val="0"/>
          <w:color w:val="000000"/>
          <w:position w:val="0"/>
        </w:rPr>
        <w:t>На основании п.1 ч.1 ст.31 Закона о контрактной системе при осуществлении</w:t>
      </w:r>
    </w:p>
    <w:p>
      <w:pPr>
        <w:pStyle w:val="Style20"/>
        <w:tabs>
          <w:tab w:leader="none" w:pos="1431" w:val="lef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закупки заказчик устанавливает следующие единые требования к участникам закупки:</w:t>
        <w:tab/>
        <w:t>соответствие требованиям, установленным в соответствии с</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Согласно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В соответствии с пп. «н» п.1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Комиссией Управления установлено, что в пп. «в» п.2 информационной карты извещения о проведении закупки Приложения «Требования к содержанию, составу заявки на участие в закупке» Заказчиком установлено требование о наличии у участника следующих документов: «участник закупки должен обладать собственной действующей лицензией на осуществление работ, связанных с использованием сведений, составляющих государственную тайну, выданной органами ФСБ России в соответствии с Постановлением Правительства РФ от 15 апреля 1995 г. № 333 «О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осуществлением мероприятий и (или) оказанием услуг по защите государственной тайны)».</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На заседании Комиссии Управления представитель Заявителя пояснил, что объектом закупки является выполнение работ по техническому обслуживанию, ремонтно-восстановительным и аварийно-техническим работам на лифтах и системах диспетчерского оборудования в зданиях МИД России, при этом вышеуказанные работы, по мнению представителя Заявителя, не предусматривают использования сведений, составляющих государственную тайну и, следовательно, не предполагают наличия допуска к секретным сведениям, что свидетельствует о том, что у Заказчика отсутствовали основания для установления требования о наличии у участника действующей лицензии на проведение работ, связанных с использованием сведений, составляющих государственную тайну, выданной Федеральной службой безопасности Российской Федерации.</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Одновременно с этим представитель Заявителя также пояснил, что понятие «режимного объекта» не свидетельствует о присвоении зданию или помещениям Заказчика грифа секретности, а также, что при выполнении любых работ в помещении Заказчика исполнитель будет иметь доступ к засекреченной информации или помещениям. В связи с чем, требование Заказчика о наличии лицензии ФСБ является неправомерным.</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Не согласившись с доводами жалобы представитель Заказчика пояснил, что вышеуказанные требования установлены на основании Закона Российской Федерации от 21.07.1993 № 5485-1 «О государственной тайне» (далее - Закон о государственной тайне).</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В соответствии с ч.1 ст.27 Закона о государственной тайне допуск предприятий, учреждений и организаций к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 осуществляется путем получения ими в порядке, устанавливаемом Правительством Российской Федерации, лицензий на проведение работ со сведениями соответствующей степени секретности.</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П.2 ст.4 Закона о государственной тайне установлено, что перечень сведений, отнесенных к государственной тайне, утвержден Указом Президента от 30.11.1995 года №1203 (далее — Перечень).</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В соответствии со ст. 5 Закона о государственной тайне государственную тайну составляют сведения в военной области о дислокации, назначении, степени готовности, защищенности режимных и особо важных объектов, об их проектировании, строительстве и эксплуатации, а также об отводе земель, недр и акваторий для этих объектов.</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На заседании Комиссии Управления представитель Заказчика пояснил, что ФГБУ «УЭЗ МИД России» является подведомственным учреждением Министерства иностранных дел Российской Федерации, которое в свою очередь является государственным режимным учреждением с секретным делопроизводством и относится к особо охраняемым объектам с особой пропускной системой и особым порядком допуска посторонних лиц.</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Таким образом, объекты МИД, обслуживание лифтов и систем диспетчерского оборудования которых является объектом закупки, относятся к режимным объектам, ввиду чего должна быть обеспечена защита сведений, составляющих государственную тайну.</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Кроме того, согласно письму департамента безопасности МИД России с грифом «секретно» при выполнении работ на режимных объектах МИД России подрядчик обязан иметь лицензию ФСБ России на осуществление работ, связанных с использованием сведений, составляющих государственную тайну.</w:t>
      </w:r>
    </w:p>
    <w:p>
      <w:pPr>
        <w:pStyle w:val="Style20"/>
        <w:widowControl w:val="0"/>
        <w:keepNext w:val="0"/>
        <w:keepLines w:val="0"/>
        <w:shd w:val="clear" w:color="auto" w:fill="auto"/>
        <w:bidi w:val="0"/>
        <w:spacing w:before="0" w:after="0" w:line="331" w:lineRule="exact"/>
        <w:ind w:left="20" w:right="20" w:firstLine="880"/>
      </w:pPr>
      <w:r>
        <w:rPr>
          <w:lang w:val="ru-RU" w:eastAsia="ru-RU" w:bidi="ru-RU"/>
          <w:w w:val="100"/>
          <w:spacing w:val="0"/>
          <w:color w:val="000000"/>
          <w:position w:val="0"/>
        </w:rPr>
        <w:t>Согласно п. 22 Перечня сведениями, отнесенными к государственной тайне, являются сведения об объектах инженерной инфраструктуры, о дислокации, назначении, степени готовности, защищенности, обеспечении безопасности или эксплуатации режимных объектов, не подпадающие под обязательства Российской Федерации по международным договорам, о выборе, предоставлении земельных участков, недр, акваторий или воздушного пространства для строительства или эксплуатации режимных объектов, о планируемых или проводимых изыскательских, проектных, строительно-монтажных и иных работах по созданию режимных объектов.</w:t>
      </w:r>
    </w:p>
    <w:p>
      <w:pPr>
        <w:pStyle w:val="Style20"/>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Комиссия Управления отмечает, что проведение работ в режимных объектах Заказчика связано с возможностью применить несанкционированные средства сбора и передачи информации, составляющие государственную тайну.</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имеющихся документов и сведений, а также с учетом пояснений представителя Заказчика и Заявителя Комиссия Управления приходит к выводу, что доводы жалобы Заявителя не нашли своего подтверждения и являются необоснованными.</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2. Также в составе жалобы Заявитель обжалует действия аукционной комиссии Заказчика, выразившиеся в признании заявки ООО РСП «Витта» соответствующей требованиям извещения о проведении электронного аукциона по результатам подведения итогов определения поставщика (подрядчика, исполнителя), несмотря на факт непредставления данным участником закупки действующей лицензии ФСБ на работу со сведениями, составляющими государственную тайну.</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05.08.2022 №ИЭА1 ООО РСП «Витта» (идентификационный номер 219) признано победителем электронного аукциона.</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в составе заявки ООО РСП «Витта» представлена лицензия ФСБ на проведение работ, связанных с использованием сведений, составляющих государственную тайну от 11.05.2022 №37160.</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0"/>
        <w:numPr>
          <w:ilvl w:val="0"/>
          <w:numId w:val="3"/>
        </w:numPr>
        <w:tabs>
          <w:tab w:leader="none" w:pos="1077"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непредставления (за исключением случаев, предусмотренных настоящим Федеральным законом) участником закупки оператору электронной площадки в</w:t>
      </w:r>
    </w:p>
    <w:p>
      <w:pPr>
        <w:pStyle w:val="Style20"/>
        <w:tabs>
          <w:tab w:leader="none" w:pos="3794" w:val="right"/>
          <w:tab w:leader="none" w:pos="3938" w:val="left"/>
          <w:tab w:leader="none" w:pos="7852" w:val="left"/>
          <w:tab w:leader="none" w:pos="10188" w:val="righ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w:t>
        <w:tab/>
        <w:t>документов</w:t>
        <w:tab/>
        <w:t>требованиям, установленным</w:t>
        <w:tab/>
        <w:t>в извещении</w:t>
        <w:tab/>
        <w:t>об</w:t>
      </w:r>
    </w:p>
    <w:p>
      <w:pPr>
        <w:pStyle w:val="Style20"/>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осуществлении закупки;</w:t>
      </w:r>
    </w:p>
    <w:p>
      <w:pPr>
        <w:pStyle w:val="Style20"/>
        <w:numPr>
          <w:ilvl w:val="0"/>
          <w:numId w:val="3"/>
        </w:numPr>
        <w:tabs>
          <w:tab w:leader="none" w:pos="3794" w:val="right"/>
          <w:tab w:leader="none" w:pos="3938" w:val="left"/>
          <w:tab w:leader="none" w:pos="7852" w:val="left"/>
          <w:tab w:leader="none" w:pos="10188" w:val="righ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непредставления информации и документов, предусмотренных пунктами 2 и 3 части 6 статьи 43 Закона о контрактной системе, несоответствия таких информации и</w:t>
        <w:tab/>
        <w:t>документов</w:t>
        <w:tab/>
        <w:t>требованиям, установленным</w:t>
        <w:tab/>
        <w:t>в извещении</w:t>
        <w:tab/>
        <w:t>об</w:t>
      </w:r>
    </w:p>
    <w:p>
      <w:pPr>
        <w:pStyle w:val="Style20"/>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осуществлении закупки;</w:t>
      </w:r>
    </w:p>
    <w:p>
      <w:pPr>
        <w:pStyle w:val="Style20"/>
        <w:numPr>
          <w:ilvl w:val="0"/>
          <w:numId w:val="3"/>
        </w:numPr>
        <w:tabs>
          <w:tab w:leader="none" w:pos="7852" w:val="left"/>
          <w:tab w:leader="none" w:pos="10188" w:val="righ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 xml:space="preserve"> несоответствия участника закупки требованиям,</w:t>
        <w:tab/>
        <w:t>установленным</w:t>
        <w:tab/>
        <w:t>в</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pPr>
        <w:pStyle w:val="Style20"/>
        <w:numPr>
          <w:ilvl w:val="0"/>
          <w:numId w:val="3"/>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20"/>
        <w:numPr>
          <w:ilvl w:val="0"/>
          <w:numId w:val="3"/>
        </w:numPr>
        <w:tabs>
          <w:tab w:leader="none" w:pos="3794" w:val="right"/>
          <w:tab w:leader="none" w:pos="3942" w:val="left"/>
          <w:tab w:leader="none" w:pos="7893"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непредставления информации и документов, предусмотренных пунктом 5 части 1 статьи</w:t>
        <w:tab/>
        <w:t>43 Закона</w:t>
        <w:tab/>
        <w:t>о контрактной системе, если</w:t>
        <w:tab/>
        <w:t>такие документы</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0"/>
        <w:numPr>
          <w:ilvl w:val="0"/>
          <w:numId w:val="3"/>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0"/>
        <w:numPr>
          <w:ilvl w:val="0"/>
          <w:numId w:val="3"/>
        </w:numPr>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 xml:space="preserve"> предусмотренных частью 6 статьи 45 Закона о контрактной системе;</w:t>
      </w:r>
    </w:p>
    <w:p>
      <w:pPr>
        <w:pStyle w:val="Style20"/>
        <w:numPr>
          <w:ilvl w:val="0"/>
          <w:numId w:val="3"/>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таких данных Комиссия Управления приходит к выводу о том, что решение аукционной комиссии Заказчика в части признания заявки ООО РСП «Витта», соответствующей требованиям извещения о проведении электронного аукциона, не противоречит требованиям Закона о контрактной системе.</w:t>
      </w:r>
    </w:p>
    <w:p>
      <w:pPr>
        <w:pStyle w:val="Style20"/>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r>
        <w:br w:type="page"/>
      </w:r>
    </w:p>
    <w:p>
      <w:pPr>
        <w:pStyle w:val="Style28"/>
        <w:widowControl w:val="0"/>
        <w:keepNext/>
        <w:keepLines/>
        <w:shd w:val="clear" w:color="auto" w:fill="auto"/>
        <w:bidi w:val="0"/>
        <w:spacing w:before="0" w:after="299"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20"/>
        <w:numPr>
          <w:ilvl w:val="0"/>
          <w:numId w:val="5"/>
        </w:numPr>
        <w:widowControl w:val="0"/>
        <w:keepNext w:val="0"/>
        <w:keepLines w:val="0"/>
        <w:shd w:val="clear" w:color="auto" w:fill="auto"/>
        <w:bidi w:val="0"/>
        <w:spacing w:before="0" w:after="0" w:line="326" w:lineRule="exact"/>
        <w:ind w:left="0" w:right="20" w:firstLine="720"/>
      </w:pPr>
      <w:r>
        <w:rPr>
          <w:lang w:val="ru-RU" w:eastAsia="ru-RU" w:bidi="ru-RU"/>
          <w:w w:val="100"/>
          <w:spacing w:val="0"/>
          <w:color w:val="000000"/>
          <w:position w:val="0"/>
        </w:rPr>
        <w:t xml:space="preserve"> Признать жалобу ООО «Полимер-Рус» на действия Заказчика, аукционной комиссии ФГБУ «УЭЗ МИД России» необоснованной.</w:t>
      </w:r>
    </w:p>
    <w:p>
      <w:pPr>
        <w:pStyle w:val="Style20"/>
        <w:numPr>
          <w:ilvl w:val="0"/>
          <w:numId w:val="5"/>
        </w:numPr>
        <w:widowControl w:val="0"/>
        <w:keepNext w:val="0"/>
        <w:keepLines w:val="0"/>
        <w:shd w:val="clear" w:color="auto" w:fill="auto"/>
        <w:bidi w:val="0"/>
        <w:spacing w:before="0" w:after="300" w:line="322" w:lineRule="exact"/>
        <w:ind w:left="0" w:right="20" w:firstLine="72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исх. №ЕИ/40306/22 от 03.08.2022.</w:t>
      </w:r>
    </w:p>
    <w:p>
      <w:pPr>
        <w:pStyle w:val="Style20"/>
        <w:widowControl w:val="0"/>
        <w:keepNext w:val="0"/>
        <w:keepLines w:val="0"/>
        <w:shd w:val="clear" w:color="auto" w:fill="auto"/>
        <w:bidi w:val="0"/>
        <w:spacing w:before="0" w:after="43"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framePr w:w="2978" w:h="1277" w:wrap="around" w:vAnchor="text" w:hAnchor="margin" w:x="6" w:y="-313"/>
        <w:widowControl w:val="0"/>
        <w:keepNext w:val="0"/>
        <w:keepLines w:val="0"/>
        <w:shd w:val="clear" w:color="auto" w:fill="auto"/>
        <w:bidi w:val="0"/>
        <w:spacing w:before="0" w:after="0" w:line="638" w:lineRule="exact"/>
        <w:ind w:left="0" w:right="100" w:firstLine="0"/>
      </w:pPr>
      <w:r>
        <w:rPr>
          <w:rStyle w:val="CharStyle26"/>
          <w:spacing w:val="0"/>
        </w:rPr>
        <w:t>Председательствующий Члены Комиссии</w:t>
      </w:r>
    </w:p>
    <w:p>
      <w:pPr>
        <w:pStyle w:val="Style20"/>
        <w:widowControl w:val="0"/>
        <w:keepNext w:val="0"/>
        <w:keepLines w:val="0"/>
        <w:shd w:val="clear" w:color="auto" w:fill="auto"/>
        <w:bidi w:val="0"/>
        <w:jc w:val="right"/>
        <w:spacing w:before="0" w:after="6371" w:line="643" w:lineRule="exact"/>
        <w:ind w:left="5460" w:right="20" w:firstLine="0"/>
      </w:pPr>
      <w:r>
        <w:rPr>
          <w:lang w:val="ru-RU" w:eastAsia="ru-RU" w:bidi="ru-RU"/>
          <w:w w:val="100"/>
          <w:spacing w:val="0"/>
          <w:color w:val="000000"/>
          <w:position w:val="0"/>
        </w:rPr>
        <w:t>К.А. Сомов А.З. Касимова Е.О. Сгибнев</w:t>
      </w:r>
    </w:p>
    <w:p>
      <w:pPr>
        <w:pStyle w:val="Style30"/>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Исп. Касимова А.З.</w:t>
      </w:r>
    </w:p>
    <w:sectPr>
      <w:pgSz w:w="11909" w:h="16838"/>
      <w:pgMar w:top="1259" w:left="851" w:right="847" w:bottom="113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25pt;margin-top:796.05pt;width:56.65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2022-44991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6.15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2022-44991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25pt;margin-top:38.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27">
    <w:name w:val="Основной текст"/>
    <w:basedOn w:val="CharStyle21"/>
    <w:rPr>
      <w:lang w:val="ru-RU" w:eastAsia="ru-RU" w:bidi="ru-RU"/>
      <w:u w:val="single"/>
      <w:w w:val="100"/>
      <w:spacing w:val="0"/>
      <w:color w:val="000000"/>
      <w:position w:val="0"/>
    </w:rPr>
  </w:style>
  <w:style w:type="character" w:customStyle="1" w:styleId="CharStyle29">
    <w:name w:val="Заголовок №1_"/>
    <w:basedOn w:val="DefaultParagraphFont"/>
    <w:link w:val="Style28"/>
    <w:rPr>
      <w:b/>
      <w:bCs/>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6)_"/>
    <w:basedOn w:val="DefaultParagraphFont"/>
    <w:link w:val="Style30"/>
    <w:rPr>
      <w:b/>
      <w:bCs/>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ind w:firstLine="4540"/>
    </w:pPr>
    <w:rPr>
      <w:b/>
      <w:bCs/>
      <w:i w:val="0"/>
      <w:iCs w:val="0"/>
      <w:u w:val="none"/>
      <w:strike w:val="0"/>
      <w:smallCaps w:val="0"/>
      <w:sz w:val="26"/>
      <w:szCs w:val="2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spacing w:before="60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