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h="259" w:wrap="around" w:hAnchor="margin" w:x="4708" w:y="1158"/>
        <w:widowControl w:val="0"/>
        <w:keepNext w:val="0"/>
        <w:keepLines w:val="0"/>
        <w:shd w:val="clear" w:color="auto" w:fill="auto"/>
        <w:bidi w:val="0"/>
        <w:jc w:val="left"/>
        <w:spacing w:before="0" w:after="0" w:line="240" w:lineRule="exact"/>
        <w:ind w:left="100" w:right="0" w:firstLine="0"/>
      </w:pPr>
      <w:r>
        <w:rPr>
          <w:rStyle w:val="CharStyle4"/>
          <w:spacing w:val="0"/>
        </w:rPr>
        <w:t>ГКУ АЗ (КС) ДЗМ</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238" w:right="7497"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125" w:lineRule="exact"/>
        <w:rPr>
          <w:sz w:val="10"/>
          <w:szCs w:val="10"/>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ул. Поликарпова, д. 4, г. Москва, 125284</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043" w:right="720" w:bottom="371" w:header="0" w:footer="3" w:gutter="0"/>
          <w:rtlGutter w:val="0"/>
          <w:cols w:space="720"/>
          <w:noEndnote/>
          <w:docGrid w:linePitch="360"/>
        </w:sectPr>
      </w:pPr>
      <w:r>
        <w:rPr>
          <w:lang w:val="ru-RU" w:eastAsia="ru-RU" w:bidi="ru-RU"/>
          <w:w w:val="100"/>
          <w:spacing w:val="0"/>
          <w:color w:val="000000"/>
          <w:position w:val="0"/>
        </w:rPr>
        <w:t>ГБУЗ «ДГП № 58 ДЗМ»</w:t>
      </w:r>
    </w:p>
    <w:p>
      <w:pPr>
        <w:widowControl w:val="0"/>
        <w:spacing w:line="46"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3"/>
        <w:widowControl w:val="0"/>
        <w:keepNext w:val="0"/>
        <w:keepLines w:val="0"/>
        <w:shd w:val="clear" w:color="auto" w:fill="auto"/>
        <w:bidi w:val="0"/>
        <w:jc w:val="both"/>
        <w:spacing w:before="0" w:after="0" w:line="317" w:lineRule="exact"/>
        <w:ind w:left="0" w:right="0" w:firstLine="0"/>
        <w:sectPr>
          <w:type w:val="continuous"/>
          <w:pgSz w:w="11909" w:h="16838"/>
          <w:pgMar w:top="121" w:left="970" w:right="2266" w:bottom="371" w:header="0" w:footer="3" w:gutter="0"/>
          <w:rtlGutter w:val="0"/>
          <w:cols w:num="2" w:space="1341"/>
          <w:noEndnote/>
          <w:docGrid w:linePitch="360"/>
        </w:sectPr>
      </w:pPr>
      <w:r>
        <w:rPr>
          <w:lang w:val="ru-RU" w:eastAsia="ru-RU" w:bidi="ru-RU"/>
          <w:w w:val="100"/>
          <w:spacing w:val="0"/>
          <w:color w:val="000000"/>
          <w:position w:val="0"/>
        </w:rPr>
        <w:t>ул. Твардовского, д. 5, корп. 4, г. Москва, 123458</w:t>
      </w:r>
    </w:p>
    <w:p>
      <w:pPr>
        <w:widowControl w:val="0"/>
        <w:spacing w:before="59" w:after="5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framePr w:h="170" w:wrap="around" w:hAnchor="margin" w:x="-3287" w:y="3902"/>
        <w:widowControl w:val="0"/>
        <w:keepNext w:val="0"/>
        <w:keepLines w:val="0"/>
        <w:shd w:val="clear" w:color="auto" w:fill="auto"/>
        <w:bidi w:val="0"/>
        <w:jc w:val="left"/>
        <w:spacing w:before="0" w:after="0" w:line="170" w:lineRule="exact"/>
        <w:ind w:left="0" w:right="0" w:firstLine="0"/>
      </w:pPr>
      <w:r>
        <w:rPr>
          <w:rStyle w:val="CharStyle24"/>
        </w:rPr>
        <w:t>№</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043" w:right="3657" w:bottom="371" w:header="0" w:footer="3" w:gutter="0"/>
          <w:rtlGutter w:val="0"/>
          <w:cols w:space="720"/>
          <w:noEndnote/>
          <w:docGrid w:linePitch="360"/>
        </w:sectPr>
      </w:pPr>
      <w:r>
        <w:rPr>
          <w:lang w:val="ru-RU" w:eastAsia="ru-RU" w:bidi="ru-RU"/>
          <w:w w:val="100"/>
          <w:spacing w:val="0"/>
          <w:color w:val="000000"/>
          <w:position w:val="0"/>
        </w:rPr>
        <w:t>ИП Силаев К.Н.</w:t>
      </w:r>
    </w:p>
    <w:p>
      <w:pPr>
        <w:widowControl w:val="0"/>
        <w:spacing w:line="106" w:lineRule="exact"/>
        <w:rPr>
          <w:sz w:val="9"/>
          <w:szCs w:val="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framePr w:h="110" w:wrap="around" w:vAnchor="text" w:hAnchor="margin" w:x="1891" w:y="47"/>
        <w:widowControl w:val="0"/>
        <w:keepNext w:val="0"/>
        <w:keepLines w:val="0"/>
        <w:shd w:val="clear" w:color="auto" w:fill="auto"/>
        <w:bidi w:val="0"/>
        <w:jc w:val="left"/>
        <w:spacing w:before="0" w:after="0" w:line="110" w:lineRule="exact"/>
        <w:ind w:left="100" w:right="0" w:firstLine="0"/>
      </w:pPr>
      <w:r>
        <w:rPr>
          <w:rStyle w:val="CharStyle27"/>
          <w:spacing w:val="0"/>
        </w:rPr>
        <w:t>ОТ</w:t>
      </w:r>
    </w:p>
    <w:p>
      <w:pPr>
        <w:pStyle w:val="Style28"/>
        <w:widowControl w:val="0"/>
        <w:keepNext w:val="0"/>
        <w:keepLines w:val="0"/>
        <w:shd w:val="clear" w:color="auto" w:fill="auto"/>
        <w:bidi w:val="0"/>
        <w:jc w:val="left"/>
        <w:spacing w:before="0" w:after="0" w:line="170" w:lineRule="exact"/>
        <w:ind w:left="0" w:right="0" w:firstLine="0"/>
        <w:sectPr>
          <w:type w:val="continuous"/>
          <w:pgSz w:w="11909" w:h="16838"/>
          <w:pgMar w:top="121" w:left="778" w:right="10493" w:bottom="371" w:header="0" w:footer="3" w:gutter="0"/>
          <w:rtlGutter w:val="0"/>
          <w:cols w:space="720"/>
          <w:noEndnote/>
          <w:docGrid w:linePitch="360"/>
        </w:sectPr>
      </w:pPr>
      <w:r>
        <w:rPr>
          <w:rStyle w:val="CharStyle30"/>
        </w:rPr>
        <w:t>На№</w:t>
      </w:r>
    </w:p>
    <w:p>
      <w:pPr>
        <w:widowControl w:val="0"/>
        <w:spacing w:line="51"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420" w:wrap="around" w:vAnchor="text" w:hAnchor="margin" w:x="-5274" w:y="365"/>
        <w:widowControl w:val="0"/>
        <w:keepNext w:val="0"/>
        <w:keepLines w:val="0"/>
        <w:shd w:val="clear" w:color="auto" w:fill="auto"/>
        <w:bidi w:val="0"/>
        <w:jc w:val="left"/>
        <w:spacing w:before="0" w:after="0" w:line="420" w:lineRule="exact"/>
        <w:ind w:left="0" w:right="0" w:firstLine="0"/>
      </w:pPr>
      <w:r>
        <w:rPr>
          <w:rStyle w:val="CharStyle33"/>
          <w:b/>
          <w:bCs/>
        </w:rPr>
        <w:t>Г</w:t>
      </w:r>
    </w:p>
    <w:p>
      <w:pPr>
        <w:pStyle w:val="Style34"/>
        <w:framePr w:h="380" w:wrap="around" w:vAnchor="text" w:hAnchor="margin" w:x="-1477" w:y="397"/>
        <w:widowControl w:val="0"/>
        <w:keepNext w:val="0"/>
        <w:keepLines w:val="0"/>
        <w:shd w:val="clear" w:color="auto" w:fill="auto"/>
        <w:bidi w:val="0"/>
        <w:jc w:val="left"/>
        <w:spacing w:before="0" w:after="0" w:line="380" w:lineRule="exact"/>
        <w:ind w:left="0" w:right="0" w:firstLine="0"/>
      </w:pPr>
      <w:r>
        <w:rPr>
          <w:rStyle w:val="CharStyle36"/>
        </w:rPr>
        <w:t>П</w:t>
      </w:r>
    </w:p>
    <w:p>
      <w:pPr>
        <w:pStyle w:val="Style3"/>
        <w:widowControl w:val="0"/>
        <w:keepNext w:val="0"/>
        <w:keepLines w:val="0"/>
        <w:shd w:val="clear" w:color="auto" w:fill="auto"/>
        <w:bidi w:val="0"/>
        <w:jc w:val="left"/>
        <w:spacing w:before="0" w:after="0" w:line="322" w:lineRule="exact"/>
        <w:ind w:left="0" w:right="380" w:firstLine="0"/>
        <w:sectPr>
          <w:type w:val="continuous"/>
          <w:pgSz w:w="11909" w:h="16838"/>
          <w:pgMar w:top="121" w:left="6043" w:right="840" w:bottom="371" w:header="0" w:footer="3" w:gutter="0"/>
          <w:rtlGutter w:val="0"/>
          <w:cols w:space="720"/>
          <w:noEndnote/>
          <w:docGrid w:linePitch="360"/>
        </w:sectPr>
      </w:pPr>
      <w:r>
        <w:rPr>
          <w:lang w:val="ru-RU" w:eastAsia="ru-RU" w:bidi="ru-RU"/>
          <w:w w:val="100"/>
          <w:spacing w:val="0"/>
          <w:color w:val="000000"/>
          <w:position w:val="0"/>
        </w:rPr>
        <w:t>ул. Бережок, д.4, кв. 20, г. Ивантеевка, обл. Московская, 141281</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widowControl w:val="0"/>
        <w:keepNext w:val="0"/>
        <w:keepLines w:val="0"/>
        <w:shd w:val="clear" w:color="auto" w:fill="auto"/>
        <w:bidi w:val="0"/>
        <w:spacing w:before="0" w:after="0"/>
        <w:ind w:left="0" w:right="0" w:firstLine="0"/>
        <w:sectPr>
          <w:type w:val="continuous"/>
          <w:pgSz w:w="11909" w:h="16838"/>
          <w:pgMar w:top="121" w:left="2952" w:right="2822" w:bottom="371" w:header="0" w:footer="3" w:gutter="0"/>
          <w:rtlGutter w:val="0"/>
          <w:cols w:space="720"/>
          <w:noEndnote/>
          <w:docGrid w:linePitch="360"/>
        </w:sectPr>
      </w:pPr>
      <w:r>
        <w:rPr>
          <w:lang w:val="ru-RU" w:eastAsia="ru-RU" w:bidi="ru-RU"/>
          <w:w w:val="100"/>
          <w:spacing w:val="0"/>
          <w:color w:val="000000"/>
          <w:position w:val="0"/>
        </w:rPr>
        <w:t>РЕШЕНИЕ по делу № 077/06/106-11742/2022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framePr w:h="240" w:wrap="around" w:vAnchor="text" w:hAnchor="margin" w:x="8659" w:y="6"/>
        <w:widowControl w:val="0"/>
        <w:keepNext w:val="0"/>
        <w:keepLines w:val="0"/>
        <w:shd w:val="clear" w:color="auto" w:fill="auto"/>
        <w:bidi w:val="0"/>
        <w:jc w:val="left"/>
        <w:spacing w:before="0" w:after="0" w:line="240" w:lineRule="exact"/>
        <w:ind w:left="100" w:right="0" w:firstLine="0"/>
      </w:pPr>
      <w:r>
        <w:rPr>
          <w:rStyle w:val="CharStyle39"/>
          <w:b/>
          <w:bCs/>
          <w:spacing w:val="0"/>
        </w:rPr>
        <w:t>г. Москва</w:t>
      </w:r>
    </w:p>
    <w:p>
      <w:pPr>
        <w:pStyle w:val="Style3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09.08.2022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Э.З. Гугава,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left"/>
        <w:spacing w:before="0" w:after="0" w:line="322" w:lineRule="exact"/>
        <w:ind w:left="2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ГКУ АЗ (КС) ДЗМ: Ефтени Л.Г. (дов.№13 от 12.01.2022),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ГБУЗ «ДГП № 58 ДЗМ», ИП Силаев К.Н., о времени и порядке заседания Комиссии Управления уведомленных надлежащим образом письмом Московского УФАС России № ЕИ/40662/22 от 04.08.2022,</w:t>
      </w:r>
    </w:p>
    <w:p>
      <w:pPr>
        <w:pStyle w:val="Style3"/>
        <w:widowControl w:val="0"/>
        <w:keepNext w:val="0"/>
        <w:keepLines w:val="0"/>
        <w:shd w:val="clear" w:color="auto" w:fill="auto"/>
        <w:bidi w:val="0"/>
        <w:jc w:val="both"/>
        <w:spacing w:before="0" w:after="236" w:line="322" w:lineRule="exact"/>
        <w:ind w:left="20" w:right="20" w:firstLine="680"/>
      </w:pPr>
      <w:r>
        <w:rPr>
          <w:lang w:val="ru-RU" w:eastAsia="ru-RU" w:bidi="ru-RU"/>
          <w:w w:val="100"/>
          <w:spacing w:val="0"/>
          <w:color w:val="000000"/>
          <w:position w:val="0"/>
        </w:rPr>
        <w:t>рассмотрев жалобу ИП Силаев К.Н. (далее — Заявитель) на действия ГБУЗ «ДГП № 58 ДЗМ» (далее — Заказчик) при проведении электронного аукциона на право заключения государственного контракта на оказание комплекса услуг по техническому обслуживанию приточно-вытяжных вентиляционных установок для нужд Государственного бюджетного учреждения здравоохранения города Москвы «Детская городская поликлиника №58 Департамента здравоохранения города</w:t>
      </w:r>
    </w:p>
    <w:p>
      <w:pPr>
        <w:pStyle w:val="Style40"/>
        <w:widowControl w:val="0"/>
        <w:keepNext w:val="0"/>
        <w:keepLines w:val="0"/>
        <w:shd w:val="clear" w:color="auto" w:fill="auto"/>
        <w:bidi w:val="0"/>
        <w:jc w:val="left"/>
        <w:spacing w:before="0" w:after="0" w:line="240" w:lineRule="auto"/>
        <w:ind w:left="0" w:right="0" w:firstLine="0"/>
        <w:sectPr>
          <w:type w:val="continuous"/>
          <w:pgSz w:w="11909" w:h="16838"/>
          <w:pgMar w:top="121" w:left="744" w:right="955" w:bottom="371" w:header="0" w:footer="3" w:gutter="0"/>
          <w:rtlGutter w:val="0"/>
          <w:cols w:space="720"/>
          <w:noEndnote/>
          <w:docGrid w:linePitch="360"/>
        </w:sectPr>
      </w:pPr>
      <w:r>
        <w:rPr>
          <w:w w:val="100"/>
          <w:spacing w:val="0"/>
          <w:color w:val="000000"/>
          <w:position w:val="0"/>
        </w:rPr>
        <w:t>001277285959</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Москвы» (у субъектов малого предпринимательства, социально ориентированных некоммерческих организаций) (Закупка № 0873200009822006315)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(в редакции от 02.07.2021 года)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42"/>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комиссии по осуществлению закупок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 ЕИ/40662/22 от 04.08.2022,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комиссии по осуществлению закупок Заказчика нарушены нормы Закона о контрактной системе в результате отклонения заявки Заявителя.</w:t>
      </w:r>
    </w:p>
    <w:p>
      <w:pPr>
        <w:pStyle w:val="Style3"/>
        <w:tabs>
          <w:tab w:leader="none" w:pos="443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Согласно протоколу подведения итогов определения поставщика (подрядчика, исполнителя) от 02.08.2022 №ИЭА2 заявка ИП Силаев К.Н., с идентификационным номером заявки 16, признана не соответствующей требованиям извещения и Закона о контрактной системе и отклонена аукционной комиссией Заказчика на следующем основании: </w:t>
      </w:r>
      <w:r>
        <w:rPr>
          <w:rStyle w:val="CharStyle44"/>
        </w:rPr>
        <w:t>«В соответствии с подпунктом ”а” пункта 1 части 5 статьи 49 Федерального Закона от 05.04.2013 г. №</w:t>
        <w:tab/>
        <w:t>44-ФЗ, заявка отклонена по основанию,</w:t>
      </w:r>
    </w:p>
    <w:p>
      <w:pPr>
        <w:pStyle w:val="Style4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предусмотренному пунктом 3 части 12 статьи 48 Федерального Закона от 05.04.2013 г. № 44-ФЗ, в связи с несоответствием участника закупки</w:t>
      </w:r>
    </w:p>
    <w:p>
      <w:pPr>
        <w:pStyle w:val="Style45"/>
        <w:tabs>
          <w:tab w:leader="none" w:pos="2013"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требованиям, установленным в извещении об осуществлении закупки в соответствии с частью 2 статьи 31 Федерального закона от 05.04.2013 г. № 44- ФЗ.А именно: согласно подпункта 12.12.1 пункта 12 раздела II «Требования к участникам закупки и необходимый перечень документов для участия в закупке. Подача заявки на участие в электронном аукционе.» информационной карты, являющейся неотъемлемой частью извещения об осуществлении закупки установлено:</w:t>
        <w:tab/>
        <w:t>дополнительное требование о наличие опыта исполнения</w:t>
      </w:r>
    </w:p>
    <w:p>
      <w:pPr>
        <w:pStyle w:val="Style45"/>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45"/>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Участником был предоставлен договор на «Оказание услуг по текущему ремонту холодильного оборудования, эксплуатируемого на катках с искусственным льдом на территории ЮЗАО города Москвы», что не соответствует требованию извещения о б осуществлении закупки.</w:t>
      </w:r>
    </w:p>
    <w:p>
      <w:pPr>
        <w:pStyle w:val="Style45"/>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Учитывая изложенное, участником не предоставлен договор, подтверждающий наличие опыта исполнения участником закупки договора, предусматривающего выполнение работ по техническому обслуживанию зданий, сооружений</w:t>
      </w:r>
      <w:r>
        <w:rPr>
          <w:rStyle w:val="CharStyle47"/>
          <w:i w:val="0"/>
          <w:iCs w:val="0"/>
        </w:rPr>
        <w:t>».</w:t>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 «р» п.1, пп «в» п.2, п.5 ч.1 ст.43 Закона о контрактной системе.</w:t>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Законом о контрактной системе.</w:t>
      </w:r>
    </w:p>
    <w:p>
      <w:pPr>
        <w:pStyle w:val="Style3"/>
        <w:widowControl w:val="0"/>
        <w:keepNext w:val="0"/>
        <w:keepLines w:val="0"/>
        <w:shd w:val="clear" w:color="auto" w:fill="auto"/>
        <w:bidi w:val="0"/>
        <w:jc w:val="both"/>
        <w:spacing w:before="0" w:after="0" w:line="322" w:lineRule="exact"/>
        <w:ind w:left="40" w:right="40" w:firstLine="68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п.1 Постановления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абз.5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 поз</w:t>
      </w:r>
      <w:r>
        <w:rPr>
          <w:rStyle w:val="CharStyle48"/>
        </w:rPr>
        <w:t>ици</w:t>
      </w:r>
      <w:r>
        <w:rPr>
          <w:lang w:val="ru-RU" w:eastAsia="ru-RU" w:bidi="ru-RU"/>
          <w:w w:val="100"/>
          <w:spacing w:val="0"/>
          <w:color w:val="000000"/>
          <w:position w:val="0"/>
        </w:rPr>
        <w:t>и 14, 15 и 36 приложения применяются в случае, если при осуществлении закупки начальная (максимальная) цена контракта превышает 1 млн. рублей.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п.14 Приложения при проведении закупочной процедуры объектом которой являются услуги по техническому обслуживанию зданий, сооружений к участникам закупочной процедуры предъявляются дополнительные требования о наличие у участника закупки опыта исполнения участником закупки договора, предусматривающего выполнение работ по техническому обслуживанию зданий, сооружений.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этом соответствие участников закупки указанным требованиям подтверждается представлением в составе заявки:</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исполненного договора;</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акта выполненных работ, подтверждающий цену выполненных работ.</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Документы, подтверждающие соответствие участников закупки дополнительным требованиям:</w:t>
      </w:r>
    </w:p>
    <w:p>
      <w:pPr>
        <w:pStyle w:val="Style3"/>
        <w:numPr>
          <w:ilvl w:val="0"/>
          <w:numId w:val="3"/>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исполненный договор;</w:t>
      </w:r>
    </w:p>
    <w:p>
      <w:pPr>
        <w:pStyle w:val="Style3"/>
        <w:numPr>
          <w:ilvl w:val="0"/>
          <w:numId w:val="3"/>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акт приемки оказанных услуг, подтверждающий цену оказанных услуг».</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Согласно ч.4 ст.31 Закона о контрактной системе в случае установления</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25.07.2022 №ИИ1 объектом закупочной процедуры является оказание комплекса услуг по техническому обслуживанию приточно</w:t>
        <w:softHyphen/>
        <w:t>вытяжных вентиляционных установок, при этом начальная (максимальная) цена контракта составляет 1 378 819,99 руб.</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в составе извещения Заказчиком также установлены дополнительные требования к участникам закупки в соответствии с п.14 Приложения Постановления №2571.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Заявителем, в подтверждение соответствия требованиям Постановления №2571, представлен контракт № 2021/354 на оказание услуг по текущему ремонту холодильного оборудования, эксплуатируемого на катках с искусственным льдом на территории ЮЗАО города Москвы, заключенный между ИП Силаев К.Н. и ГБУ «Автомобильные дороги ЮЗАО» посредством проведения конкурентной процедуры № 0373200032221001319.</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3"/>
        <w:numPr>
          <w:ilvl w:val="0"/>
          <w:numId w:val="5"/>
        </w:numPr>
        <w:tabs>
          <w:tab w:leader="none" w:pos="1032"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члены комиссии по осуществлению закупок:</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 основании информации, содержащейся в протоколе подачи ценовых предложений, а также результатов рассмотрения, предусмотренного пп «а»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w:t>
      </w:r>
      <w:r>
        <w:rPr>
          <w:rStyle w:val="CharStyle48"/>
        </w:rPr>
        <w:t>ши</w:t>
      </w:r>
      <w:r>
        <w:rPr>
          <w:lang w:val="ru-RU" w:eastAsia="ru-RU" w:bidi="ru-RU"/>
          <w:w w:val="100"/>
          <w:spacing w:val="0"/>
          <w:color w:val="000000"/>
          <w:position w:val="0"/>
        </w:rPr>
        <w:t>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3"/>
        <w:tabs>
          <w:tab w:leader="none" w:pos="436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в рамках спорного контракта Заявителем оказывались услуги по техническому обслуживанию холодильного оборудования катков, которое</w:t>
        <w:tab/>
        <w:t>являлось системой инженерно-технического</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обеспечения зданий(сооружений) ГБУ «Автомобильные дороги ЮЗАО», ввиду чего оказываемые услуги являлись услуги по техническому обслуживанию зданий (сооружений), что свидетельствует о соответствии данного контракта требованиям п.14 Приложения.</w:t>
      </w:r>
    </w:p>
    <w:p>
      <w:pPr>
        <w:pStyle w:val="Style3"/>
        <w:tabs>
          <w:tab w:leader="none" w:pos="436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ч.8 ст.55.24 ГрК РФ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w:t>
        <w:tab/>
        <w:t>обеспечения, сетей инженерно-технического</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обеспечения, их элементов в соответствии с требованиями технических регламентов, проектной документации.</w:t>
      </w:r>
    </w:p>
    <w:p>
      <w:pPr>
        <w:pStyle w:val="Style3"/>
        <w:tabs>
          <w:tab w:leader="none" w:pos="436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п.2 ч.2 ст.2 Федерального закона от 30.12.2009 №384-ФЗ «Технический регламент о безопасности зданий и сооружений» система инженерно</w:t>
        <w:softHyphen/>
        <w:t>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w:t>
        <w:tab/>
        <w:t>газоснабжения, электроснабжения, связи,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информатизации, диспетчеризации, мусороудаления, вертикального транспорта (лифты, эскалаторы) или функций обеспечения безопасности.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представленный Заявителем контракт не соответствует требованиям п.14 Приложения, так как в рамках представленного контракта осуществлялось обслуживание обособленного оборудования находящегося вне зданий и сооружений ГБУ «Автомобильные дороги ЮЗАО», в частности подлежало обслуживанию холодильное оборудование открытого типа, размещенное непосредственно у объектов ГБУ «Автомобильные дороги ЮЗАО», ввиду чего проведенные Заявителем работы не являются техническим обслуживанием инженерных систем задания и не являются работами по техническому обслуживанию задний, сооружений.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Комиссией Управления установлено, что в составе извещения № 0373200032221001319, а также приложений к данному извещению, исполненном Заявителем контракте отсутствует документы и сведения однозначно указывавшие на проведение работ по техническому обслуживанию инженерных систем здания или сооружения в рамках контракта №2021/354.</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факт обслуживания оборудования, не включенного в инженерно-техническую сеть задания или сооружения, не свидетельствует о проведении исполнителем контракта работ по техническому обслуживанию задания или сооружения.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на заседание Комиссии Управления представитель Заявителя не явился, а в составе жалобы Заявителем не представлено документов и сведений, однозначно свидетельствующих о проведении работ по техническому обслуживанию оборудования, включенного в инженерно-техническую сеть здания или сооружения, в рамках спорного контракта.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участником закупки не представлены документы и сведения, подтверждающие соответствие участника закупочной процедуры дополнительным требованиям, установленным Постановлением №2571.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статьи 31 Закона о контрактной системе;</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пунктом 5 части 1 ст.43 Закона о контрактной системе);</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Закона о контрактной системе ,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3"/>
        <w:numPr>
          <w:ilvl w:val="0"/>
          <w:numId w:val="7"/>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на основании представленных документов и сведений приходит к выводу о том, что решение аукционной комиссии Заказчика об отклонении заявки ИП Силаев К.Н. по основанию, отраженному в протоколе подведения итогов электронного аукциона, является правомерным и принято в соответствии с Законом о контрактной системе.</w:t>
      </w:r>
    </w:p>
    <w:p>
      <w:pPr>
        <w:pStyle w:val="Style3"/>
        <w:widowControl w:val="0"/>
        <w:keepNext w:val="0"/>
        <w:keepLines w:val="0"/>
        <w:shd w:val="clear" w:color="auto" w:fill="auto"/>
        <w:bidi w:val="0"/>
        <w:jc w:val="both"/>
        <w:spacing w:before="0" w:after="349" w:line="322"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2"/>
        <w:widowControl w:val="0"/>
        <w:keepNext/>
        <w:keepLines/>
        <w:shd w:val="clear" w:color="auto" w:fill="auto"/>
        <w:bidi w:val="0"/>
        <w:jc w:val="left"/>
        <w:spacing w:before="0" w:after="303"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3"/>
        <w:numPr>
          <w:ilvl w:val="0"/>
          <w:numId w:val="9"/>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Признать жалобу ИП Силаев К.Н. на действия аукционной комиссии ГБУЗ «ДГП № 58 ДЗМ» необоснованной.</w:t>
      </w:r>
    </w:p>
    <w:p>
      <w:pPr>
        <w:pStyle w:val="Style3"/>
        <w:numPr>
          <w:ilvl w:val="0"/>
          <w:numId w:val="9"/>
        </w:numPr>
        <w:widowControl w:val="0"/>
        <w:keepNext w:val="0"/>
        <w:keepLines w:val="0"/>
        <w:shd w:val="clear" w:color="auto" w:fill="auto"/>
        <w:bidi w:val="0"/>
        <w:jc w:val="both"/>
        <w:spacing w:before="0" w:after="300" w:line="322" w:lineRule="exact"/>
        <w:ind w:left="20" w:right="20" w:firstLine="680"/>
      </w:pPr>
      <w:r>
        <w:rPr>
          <w:lang w:val="ru-RU" w:eastAsia="ru-RU" w:bidi="ru-RU"/>
          <w:w w:val="100"/>
          <w:spacing w:val="0"/>
          <w:color w:val="000000"/>
          <w:position w:val="0"/>
        </w:rPr>
        <w:t xml:space="preserve"> Снять ограничения на определение поставщика, наложенные Московским УФАС России, посредством функционала Единой информационной системы.</w:t>
      </w:r>
    </w:p>
    <w:p>
      <w:pPr>
        <w:pStyle w:val="Style3"/>
        <w:widowControl w:val="0"/>
        <w:keepNext w:val="0"/>
        <w:keepLines w:val="0"/>
        <w:shd w:val="clear" w:color="auto" w:fill="auto"/>
        <w:bidi w:val="0"/>
        <w:jc w:val="both"/>
        <w:spacing w:before="0" w:after="43" w:line="322"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313" w:val="right"/>
          <w:tab w:leader="none" w:pos="10184"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Председательствующий</w:t>
        <w:tab/>
        <w:t>Н.А.</w:t>
        <w:tab/>
        <w:t>Узкий</w:t>
      </w:r>
    </w:p>
    <w:p>
      <w:pPr>
        <w:pStyle w:val="Style3"/>
        <w:tabs>
          <w:tab w:leader="none" w:pos="10184" w:val="right"/>
          <w:tab w:leader="none" w:pos="1018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Э.З.</w:t>
        <w:tab/>
        <w:t>Гугава</w:t>
      </w:r>
    </w:p>
    <w:p>
      <w:pPr>
        <w:pStyle w:val="Style3"/>
        <w:widowControl w:val="0"/>
        <w:keepNext w:val="0"/>
        <w:keepLines w:val="0"/>
        <w:shd w:val="clear" w:color="auto" w:fill="auto"/>
        <w:bidi w:val="0"/>
        <w:jc w:val="right"/>
        <w:spacing w:before="0" w:after="1863" w:line="643" w:lineRule="exact"/>
        <w:ind w:left="0" w:right="20" w:firstLine="0"/>
      </w:pPr>
      <w:r>
        <w:rPr>
          <w:lang w:val="ru-RU" w:eastAsia="ru-RU" w:bidi="ru-RU"/>
          <w:w w:val="100"/>
          <w:spacing w:val="0"/>
          <w:color w:val="000000"/>
          <w:position w:val="0"/>
        </w:rPr>
        <w:t>А.А. Матюшенко</w:t>
      </w:r>
    </w:p>
    <w:p>
      <w:pPr>
        <w:pStyle w:val="Style49"/>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Исп. Матюшенко А.А., 8(495) 784-75-05</w:t>
      </w:r>
    </w:p>
    <w:sectPr>
      <w:pgSz w:w="11909" w:h="16838"/>
      <w:pgMar w:top="1262" w:left="848" w:right="827" w:bottom="113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85pt;margin-top:795.6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2022-45387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37.7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2022-45387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85pt;margin-top:37.8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Подпись к картинке_"/>
    <w:basedOn w:val="DefaultParagraphFont"/>
    <w:link w:val="Style5"/>
    <w:rPr>
      <w:b w:val="0"/>
      <w:bCs w:val="0"/>
      <w:i w:val="0"/>
      <w:iCs w:val="0"/>
      <w:u w:val="none"/>
      <w:strike w:val="0"/>
      <w:smallCaps w:val="0"/>
      <w:sz w:val="12"/>
      <w:szCs w:val="12"/>
      <w:rFonts w:ascii="Times New Roman" w:eastAsia="Times New Roman" w:hAnsi="Times New Roman" w:cs="Times New Roman"/>
      <w:w w:val="150"/>
    </w:rPr>
  </w:style>
  <w:style w:type="character" w:customStyle="1" w:styleId="CharStyle7">
    <w:name w:val="Подпись к картинке"/>
    <w:basedOn w:val="CharStyle6"/>
    <w:rPr>
      <w:lang w:val="ru-RU" w:eastAsia="ru-RU" w:bidi="ru-RU"/>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 Exact"/>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Exact"/>
    <w:basedOn w:val="CharStyle23"/>
    <w:rPr>
      <w:lang w:val="ru-RU" w:eastAsia="ru-RU" w:bidi="ru-RU"/>
      <w:w w:val="100"/>
      <w:spacing w:val="0"/>
      <w:color w:val="000000"/>
      <w:position w:val="0"/>
    </w:rPr>
  </w:style>
  <w:style w:type="character" w:customStyle="1" w:styleId="CharStyle26">
    <w:name w:val="Основной текст (6) Exact"/>
    <w:basedOn w:val="DefaultParagraphFont"/>
    <w:link w:val="Style25"/>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7">
    <w:name w:val="Основной текст (6) Exact"/>
    <w:basedOn w:val="CharStyle26"/>
    <w:rPr>
      <w:lang w:val="ru-RU" w:eastAsia="ru-RU" w:bidi="ru-RU"/>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30">
    <w:name w:val="Основной текст (5)"/>
    <w:basedOn w:val="CharStyle29"/>
    <w:rPr>
      <w:lang w:val="ru-RU" w:eastAsia="ru-RU" w:bidi="ru-RU"/>
      <w:w w:val="100"/>
      <w:color w:val="000000"/>
      <w:position w:val="0"/>
    </w:rPr>
  </w:style>
  <w:style w:type="character" w:customStyle="1" w:styleId="CharStyle32">
    <w:name w:val="Основной текст (7) Exact"/>
    <w:basedOn w:val="DefaultParagraphFont"/>
    <w:link w:val="Style31"/>
    <w:rPr>
      <w:b/>
      <w:bCs/>
      <w:i w:val="0"/>
      <w:iCs w:val="0"/>
      <w:u w:val="none"/>
      <w:strike w:val="0"/>
      <w:smallCaps w:val="0"/>
      <w:sz w:val="42"/>
      <w:szCs w:val="42"/>
    </w:rPr>
  </w:style>
  <w:style w:type="character" w:customStyle="1" w:styleId="CharStyle33">
    <w:name w:val="Основной текст (7) Exact"/>
    <w:basedOn w:val="CharStyle32"/>
    <w:rPr>
      <w:lang w:val="ru-RU" w:eastAsia="ru-RU" w:bidi="ru-RU"/>
      <w:rFonts w:ascii="Courier New" w:eastAsia="Courier New" w:hAnsi="Courier New" w:cs="Courier New"/>
      <w:w w:val="100"/>
      <w:spacing w:val="0"/>
      <w:color w:val="000000"/>
      <w:position w:val="0"/>
    </w:rPr>
  </w:style>
  <w:style w:type="character" w:customStyle="1" w:styleId="CharStyle35">
    <w:name w:val="Основной текст (8) Exact"/>
    <w:basedOn w:val="DefaultParagraphFont"/>
    <w:link w:val="Style34"/>
    <w:rPr>
      <w:b w:val="0"/>
      <w:bCs w:val="0"/>
      <w:i w:val="0"/>
      <w:iCs w:val="0"/>
      <w:u w:val="none"/>
      <w:strike w:val="0"/>
      <w:smallCaps w:val="0"/>
      <w:sz w:val="38"/>
      <w:szCs w:val="38"/>
      <w:rFonts w:ascii="Times New Roman" w:eastAsia="Times New Roman" w:hAnsi="Times New Roman" w:cs="Times New Roman"/>
    </w:rPr>
  </w:style>
  <w:style w:type="character" w:customStyle="1" w:styleId="CharStyle36">
    <w:name w:val="Основной текст (8) Exact"/>
    <w:basedOn w:val="CharStyle35"/>
    <w:rPr>
      <w:lang w:val="ru-RU" w:eastAsia="ru-RU" w:bidi="ru-RU"/>
      <w:w w:val="100"/>
      <w:spacing w:val="0"/>
      <w:color w:val="000000"/>
      <w:position w:val="0"/>
    </w:rPr>
  </w:style>
  <w:style w:type="character" w:customStyle="1" w:styleId="CharStyle38">
    <w:name w:val="Основной текст (9)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9)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41">
    <w:name w:val="Штрих-код (2)_"/>
    <w:basedOn w:val="DefaultParagraphFont"/>
    <w:link w:val="Style4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3">
    <w:name w:val="Заголовок №1_"/>
    <w:basedOn w:val="DefaultParagraphFont"/>
    <w:link w:val="Style42"/>
    <w:rPr>
      <w:b/>
      <w:bCs/>
      <w:i w:val="0"/>
      <w:iCs w:val="0"/>
      <w:u w:val="none"/>
      <w:strike w:val="0"/>
      <w:smallCaps w:val="0"/>
      <w:sz w:val="26"/>
      <w:szCs w:val="26"/>
      <w:rFonts w:ascii="Times New Roman" w:eastAsia="Times New Roman" w:hAnsi="Times New Roman" w:cs="Times New Roman"/>
    </w:rPr>
  </w:style>
  <w:style w:type="character" w:customStyle="1" w:styleId="CharStyle44">
    <w:name w:val="Основной текст + Курсив"/>
    <w:basedOn w:val="CharStyle17"/>
    <w:rPr>
      <w:lang w:val="ru-RU" w:eastAsia="ru-RU" w:bidi="ru-RU"/>
      <w:i/>
      <w:iCs/>
      <w:w w:val="100"/>
      <w:spacing w:val="0"/>
      <w:color w:val="000000"/>
      <w:position w:val="0"/>
    </w:rPr>
  </w:style>
  <w:style w:type="character" w:customStyle="1" w:styleId="CharStyle46">
    <w:name w:val="Основной текст (10)_"/>
    <w:basedOn w:val="DefaultParagraphFont"/>
    <w:link w:val="Style45"/>
    <w:rPr>
      <w:b w:val="0"/>
      <w:bCs w:val="0"/>
      <w:i/>
      <w:iCs/>
      <w:u w:val="none"/>
      <w:strike w:val="0"/>
      <w:smallCaps w:val="0"/>
      <w:sz w:val="26"/>
      <w:szCs w:val="26"/>
      <w:rFonts w:ascii="Times New Roman" w:eastAsia="Times New Roman" w:hAnsi="Times New Roman" w:cs="Times New Roman"/>
    </w:rPr>
  </w:style>
  <w:style w:type="character" w:customStyle="1" w:styleId="CharStyle47">
    <w:name w:val="Основной текст (10) + Не курсив"/>
    <w:basedOn w:val="CharStyle46"/>
    <w:rPr>
      <w:lang w:val="ru-RU" w:eastAsia="ru-RU" w:bidi="ru-RU"/>
      <w:i/>
      <w:iCs/>
      <w:w w:val="100"/>
      <w:spacing w:val="0"/>
      <w:color w:val="000000"/>
      <w:position w:val="0"/>
    </w:rPr>
  </w:style>
  <w:style w:type="character" w:customStyle="1" w:styleId="CharStyle48">
    <w:name w:val="Основной текст"/>
    <w:basedOn w:val="CharStyle17"/>
    <w:rPr>
      <w:lang w:val="ru-RU" w:eastAsia="ru-RU" w:bidi="ru-RU"/>
      <w:u w:val="single"/>
      <w:w w:val="100"/>
      <w:spacing w:val="0"/>
      <w:color w:val="000000"/>
      <w:position w:val="0"/>
    </w:rPr>
  </w:style>
  <w:style w:type="character" w:customStyle="1" w:styleId="CharStyle50">
    <w:name w:val="Основной текст (11)_"/>
    <w:basedOn w:val="DefaultParagraphFont"/>
    <w:link w:val="Style49"/>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w w:val="15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8">
    <w:name w:val="Основной текст (5)"/>
    <w:basedOn w:val="Normal"/>
    <w:link w:val="CharStyle2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1">
    <w:name w:val="Основной текст (7)"/>
    <w:basedOn w:val="Normal"/>
    <w:link w:val="CharStyle32"/>
    <w:pPr>
      <w:widowControl w:val="0"/>
      <w:shd w:val="clear" w:color="auto" w:fill="FFFFFF"/>
      <w:spacing w:line="0" w:lineRule="exact"/>
    </w:pPr>
    <w:rPr>
      <w:b/>
      <w:bCs/>
      <w:i w:val="0"/>
      <w:iCs w:val="0"/>
      <w:u w:val="none"/>
      <w:strike w:val="0"/>
      <w:smallCaps w:val="0"/>
      <w:sz w:val="42"/>
      <w:szCs w:val="42"/>
    </w:rPr>
  </w:style>
  <w:style w:type="paragraph" w:customStyle="1" w:styleId="Style34">
    <w:name w:val="Основной текст (8)"/>
    <w:basedOn w:val="Normal"/>
    <w:link w:val="CharStyle35"/>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Штрих-код (2)"/>
    <w:basedOn w:val="Normal"/>
    <w:link w:val="CharStyle4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49">
    <w:name w:val="Основной текст (11)"/>
    <w:basedOn w:val="Normal"/>
    <w:link w:val="CharStyle50"/>
    <w:pPr>
      <w:widowControl w:val="0"/>
      <w:shd w:val="clear" w:color="auto" w:fill="FFFFFF"/>
      <w:jc w:val="both"/>
      <w:spacing w:before="150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