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0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18" w:right="8671" w:bottom="341" w:header="0" w:footer="3" w:gutter="0"/>
          <w:rtlGutter w:val="0"/>
          <w:cols w:space="720"/>
          <w:noEndnote/>
          <w:docGrid w:linePitch="360"/>
        </w:sectPr>
      </w:pPr>
    </w:p>
    <w:p>
      <w:pPr>
        <w:pStyle w:val="Style9"/>
        <w:framePr w:h="161" w:wrap="around" w:vAnchor="text" w:hAnchor="margin" w:x="-186" w:y="3166"/>
        <w:widowControl w:val="0"/>
        <w:keepNext w:val="0"/>
        <w:keepLines w:val="0"/>
        <w:shd w:val="clear" w:color="auto" w:fill="auto"/>
        <w:bidi w:val="0"/>
        <w:jc w:val="left"/>
        <w:spacing w:before="0" w:after="0" w:line="160" w:lineRule="exact"/>
        <w:ind w:left="0" w:right="0" w:firstLine="0"/>
      </w:pPr>
      <w:r>
        <w:rPr>
          <w:rStyle w:val="CharStyle11"/>
          <w:spacing w:val="20"/>
        </w:rPr>
        <w:t>На№</w:t>
      </w:r>
    </w:p>
    <w:p>
      <w:pPr>
        <w:widowControl w:val="0"/>
        <w:rPr>
          <w:sz w:val="2"/>
          <w:szCs w:val="2"/>
        </w:rPr>
      </w:pPr>
    </w:p>
    <w:p>
      <w:pPr>
        <w:pStyle w:val="Style12"/>
        <w:widowControl w:val="0"/>
        <w:keepNext w:val="0"/>
        <w:keepLines w:val="0"/>
        <w:shd w:val="clear" w:color="auto" w:fill="auto"/>
        <w:bidi w:val="0"/>
        <w:spacing w:before="0" w:after="164"/>
        <w:ind w:left="0" w:right="0" w:firstLine="0"/>
      </w:pPr>
      <w:r>
        <w:rPr>
          <w:rStyle w:val="CharStyle14"/>
          <w:b/>
          <w:bCs/>
        </w:rPr>
        <w:t>ФЕДЕРАЛЬНАЯ АНТИМОНОПОЛЬНАЯ СЛУЖБА</w:t>
      </w:r>
    </w:p>
    <w:p>
      <w:pPr>
        <w:pStyle w:val="Style12"/>
        <w:widowControl w:val="0"/>
        <w:keepNext w:val="0"/>
        <w:keepLines w:val="0"/>
        <w:shd w:val="clear" w:color="auto" w:fill="auto"/>
        <w:bidi w:val="0"/>
        <w:spacing w:before="0" w:after="190" w:line="180" w:lineRule="exact"/>
        <w:ind w:left="0" w:right="0" w:firstLine="0"/>
      </w:pPr>
      <w:r>
        <w:rPr>
          <w:rStyle w:val="CharStyle14"/>
          <w:b/>
          <w:bCs/>
        </w:rPr>
        <w:t>УПРАВЛЕ</w:t>
      </w:r>
      <w:r>
        <w:rPr>
          <w:rStyle w:val="CharStyle15"/>
          <w:b/>
          <w:bCs/>
        </w:rPr>
        <w:t>НИЕ</w:t>
      </w:r>
    </w:p>
    <w:p>
      <w:pPr>
        <w:pStyle w:val="Style12"/>
        <w:widowControl w:val="0"/>
        <w:keepNext w:val="0"/>
        <w:keepLines w:val="0"/>
        <w:shd w:val="clear" w:color="auto" w:fill="auto"/>
        <w:bidi w:val="0"/>
        <w:spacing w:before="0" w:after="157" w:line="180" w:lineRule="exact"/>
        <w:ind w:left="0" w:right="0" w:firstLine="0"/>
      </w:pPr>
      <w:r>
        <w:rPr>
          <w:rStyle w:val="CharStyle14"/>
          <w:b/>
          <w:bCs/>
        </w:rPr>
        <w:t>по г. Москве</w:t>
      </w:r>
    </w:p>
    <w:p>
      <w:pPr>
        <w:pStyle w:val="Style16"/>
        <w:widowControl w:val="0"/>
        <w:keepNext w:val="0"/>
        <w:keepLines w:val="0"/>
        <w:shd w:val="clear" w:color="auto" w:fill="auto"/>
        <w:bidi w:val="0"/>
        <w:spacing w:before="0" w:after="281"/>
        <w:ind w:left="0" w:right="0" w:firstLine="0"/>
      </w:pPr>
      <w:r>
        <w:rPr>
          <w:rStyle w:val="CharStyle18"/>
        </w:rPr>
        <w:t xml:space="preserve">Мясницкий проезд, д.4, стр. 1 107078, г. Москва, тел. (495) 784-75-05, факс (495) 607-49-29 факс (495) 607-42-92, </w:t>
      </w:r>
      <w:r>
        <w:rPr>
          <w:rStyle w:val="CharStyle19"/>
        </w:rPr>
        <w:t>e-mail: to77@,fas.gov.ru</w:t>
      </w:r>
    </w:p>
    <w:p>
      <w:pPr>
        <w:pStyle w:val="Style20"/>
        <w:widowControl w:val="0"/>
        <w:keepNext w:val="0"/>
        <w:keepLines w:val="0"/>
        <w:shd w:val="clear" w:color="auto" w:fill="auto"/>
        <w:bidi w:val="0"/>
        <w:jc w:val="left"/>
        <w:spacing w:before="0" w:after="132" w:line="170" w:lineRule="exact"/>
        <w:ind w:left="1360" w:right="0" w:firstLine="0"/>
      </w:pPr>
      <w:r>
        <w:rPr>
          <w:rStyle w:val="CharStyle22"/>
        </w:rPr>
        <w:t>№</w:t>
      </w:r>
    </w:p>
    <w:p>
      <w:pPr>
        <w:pStyle w:val="Style23"/>
        <w:widowControl w:val="0"/>
        <w:keepNext w:val="0"/>
        <w:keepLines w:val="0"/>
        <w:shd w:val="clear" w:color="auto" w:fill="auto"/>
        <w:bidi w:val="0"/>
        <w:jc w:val="left"/>
        <w:spacing w:before="0" w:after="0" w:line="200" w:lineRule="exact"/>
        <w:ind w:left="1360" w:right="0" w:firstLine="0"/>
      </w:pPr>
      <w:r>
        <w:rPr>
          <w:rStyle w:val="CharStyle25"/>
          <w:b/>
          <w:bCs/>
        </w:rPr>
        <w:t>от</w:t>
      </w:r>
    </w:p>
    <w:p>
      <w:pPr>
        <w:pStyle w:val="Style26"/>
        <w:widowControl w:val="0"/>
        <w:keepNext w:val="0"/>
        <w:keepLines w:val="0"/>
        <w:shd w:val="clear" w:color="auto" w:fill="auto"/>
        <w:bidi w:val="0"/>
        <w:jc w:val="left"/>
        <w:spacing w:before="0" w:after="0"/>
        <w:ind w:left="20" w:right="520" w:firstLine="0"/>
      </w:pPr>
      <w:r>
        <w:rPr>
          <w:lang w:val="ru-RU" w:eastAsia="ru-RU" w:bidi="ru-RU"/>
          <w:w w:val="100"/>
          <w:spacing w:val="0"/>
          <w:color w:val="000000"/>
          <w:position w:val="0"/>
        </w:rPr>
        <w:t>ГБУЗ «ГКБ им. А.К. Ерамишанцева ДЗМ»</w:t>
      </w:r>
    </w:p>
    <w:p>
      <w:pPr>
        <w:pStyle w:val="Style26"/>
        <w:widowControl w:val="0"/>
        <w:keepNext w:val="0"/>
        <w:keepLines w:val="0"/>
        <w:shd w:val="clear" w:color="auto" w:fill="auto"/>
        <w:bidi w:val="0"/>
        <w:jc w:val="left"/>
        <w:spacing w:before="0" w:after="240"/>
        <w:ind w:left="20" w:right="520" w:firstLine="0"/>
      </w:pPr>
      <w:r>
        <w:rPr>
          <w:lang w:val="ru-RU" w:eastAsia="ru-RU" w:bidi="ru-RU"/>
          <w:w w:val="100"/>
          <w:spacing w:val="0"/>
          <w:color w:val="000000"/>
          <w:position w:val="0"/>
        </w:rPr>
        <w:t xml:space="preserve">ул. Ленская, д. 15, г. Москва, 129327 </w:t>
      </w:r>
      <w:r>
        <w:fldChar w:fldCharType="begin"/>
      </w:r>
      <w:r>
        <w:rPr>
          <w:color w:val="000000"/>
        </w:rPr>
        <w:instrText> HYPERLINK "mailto:gkb202020@yandex.ru" </w:instrText>
      </w:r>
      <w:r>
        <w:fldChar w:fldCharType="separate"/>
      </w:r>
      <w:r>
        <w:rPr>
          <w:rStyle w:val="Hyperlink"/>
          <w:lang w:val="en-US" w:eastAsia="en-US" w:bidi="en-US"/>
          <w:w w:val="100"/>
          <w:spacing w:val="0"/>
          <w:position w:val="0"/>
        </w:rPr>
        <w:t>gkb202020@yandex.ru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r>
        <w:rPr>
          <w:lang w:val="en-US" w:eastAsia="en-US" w:bidi="en-US"/>
          <w:w w:val="100"/>
          <w:spacing w:val="0"/>
          <w:color w:val="000000"/>
          <w:position w:val="0"/>
        </w:rPr>
        <w:t xml:space="preserve">; gkb- erami </w:t>
      </w:r>
      <w:r>
        <w:fldChar w:fldCharType="begin"/>
      </w:r>
      <w:r>
        <w:rPr>
          <w:color w:val="000000"/>
        </w:rPr>
        <w:instrText> HYPERLINK "mailto:shanzeva@zdrav.mos" </w:instrText>
      </w:r>
      <w:r>
        <w:fldChar w:fldCharType="separate"/>
      </w:r>
      <w:r>
        <w:rPr>
          <w:rStyle w:val="Hyperlink"/>
          <w:lang w:val="en-US" w:eastAsia="en-US" w:bidi="en-US"/>
          <w:w w:val="100"/>
          <w:spacing w:val="0"/>
          <w:position w:val="0"/>
        </w:rPr>
        <w:t>shanzeva@zdrav.mos</w:t>
      </w:r>
      <w:r>
        <w:fldChar w:fldCharType="end"/>
      </w:r>
      <w:r>
        <w:rPr>
          <w:lang w:val="en-US" w:eastAsia="en-US" w:bidi="en-US"/>
          <w:w w:val="100"/>
          <w:spacing w:val="0"/>
          <w:color w:val="000000"/>
          <w:position w:val="0"/>
        </w:rPr>
        <w:t xml:space="preserve"> .ru</w:t>
      </w:r>
    </w:p>
    <w:p>
      <w:pPr>
        <w:pStyle w:val="Style26"/>
        <w:widowControl w:val="0"/>
        <w:keepNext w:val="0"/>
        <w:keepLines w:val="0"/>
        <w:shd w:val="clear" w:color="auto" w:fill="auto"/>
        <w:bidi w:val="0"/>
        <w:jc w:val="left"/>
        <w:spacing w:before="0" w:after="0"/>
        <w:ind w:left="20" w:right="0" w:firstLine="0"/>
        <w:sectPr>
          <w:type w:val="continuous"/>
          <w:pgSz w:w="11909" w:h="16838"/>
          <w:pgMar w:top="106" w:left="1073" w:right="967" w:bottom="356" w:header="0" w:footer="3" w:gutter="0"/>
          <w:rtlGutter w:val="0"/>
          <w:cols w:num="2" w:space="720" w:equalWidth="0">
            <w:col w:w="3715" w:space="1358"/>
            <w:col w:w="4795"/>
          </w:cols>
          <w:noEndnote/>
          <w:docGrid w:linePitch="360"/>
        </w:sectPr>
      </w:pPr>
      <w:r>
        <w:rPr>
          <w:lang w:val="ru-RU" w:eastAsia="ru-RU" w:bidi="ru-RU"/>
          <w:w w:val="100"/>
          <w:spacing w:val="0"/>
          <w:color w:val="000000"/>
          <w:position w:val="0"/>
        </w:rPr>
        <w:t xml:space="preserve">ООО «Технопарк Энергоспектр» 105187, г. Москва, Муниципальный округ Соколиная Гора вн.тер.г., Вольная ул., д. 39, пом. 26, ком. 420 </w:t>
      </w:r>
      <w:r>
        <w:fldChar w:fldCharType="begin"/>
      </w:r>
      <w:r>
        <w:rPr>
          <w:color w:val="000000"/>
        </w:rPr>
        <w:instrText> HYPERLINK "mailto:tparkenergo@yandex.ru" </w:instrText>
      </w:r>
      <w:r>
        <w:fldChar w:fldCharType="separate"/>
      </w:r>
      <w:r>
        <w:rPr>
          <w:rStyle w:val="Hyperlink"/>
          <w:lang w:val="en-US" w:eastAsia="en-US" w:bidi="en-US"/>
          <w:w w:val="100"/>
          <w:spacing w:val="0"/>
          <w:position w:val="0"/>
        </w:rPr>
        <w:t>tparkenergo@yandex.ru</w:t>
      </w:r>
      <w:r>
        <w:fldChar w:fldCharType="end"/>
      </w:r>
    </w:p>
    <w:p>
      <w:pPr>
        <w:pStyle w:val="Style28"/>
        <w:framePr w:h="310" w:wrap="around" w:vAnchor="text" w:hAnchor="margin" w:x="-2178" w:y="1"/>
        <w:widowControl w:val="0"/>
        <w:keepNext w:val="0"/>
        <w:keepLines w:val="0"/>
        <w:shd w:val="clear" w:color="auto" w:fill="auto"/>
        <w:bidi w:val="0"/>
        <w:jc w:val="left"/>
        <w:spacing w:before="0" w:after="0" w:line="280" w:lineRule="exact"/>
        <w:ind w:left="0" w:right="0" w:firstLine="0"/>
      </w:pPr>
      <w:r>
        <w:rPr>
          <w:rStyle w:val="CharStyle30"/>
        </w:rPr>
        <w:t>Г</w:t>
      </w:r>
    </w:p>
    <w:p>
      <w:pPr>
        <w:pStyle w:val="Style31"/>
        <w:widowControl w:val="0"/>
        <w:keepNext w:val="0"/>
        <w:keepLines w:val="0"/>
        <w:shd w:val="clear" w:color="auto" w:fill="auto"/>
        <w:bidi w:val="0"/>
        <w:jc w:val="left"/>
        <w:spacing w:before="0" w:after="602" w:line="540" w:lineRule="exact"/>
        <w:ind w:left="1620" w:right="0" w:firstLine="0"/>
      </w:pPr>
      <w:r>
        <w:rPr>
          <w:rStyle w:val="CharStyle33"/>
        </w:rPr>
        <w:t>п</w:t>
      </w:r>
    </w:p>
    <w:p>
      <w:pPr>
        <w:pStyle w:val="Style34"/>
        <w:widowControl w:val="0"/>
        <w:keepNext w:val="0"/>
        <w:keepLines w:val="0"/>
        <w:shd w:val="clear" w:color="auto" w:fill="auto"/>
        <w:bidi w:val="0"/>
        <w:spacing w:before="0" w:after="0"/>
        <w:ind w:left="0" w:right="0" w:firstLine="0"/>
        <w:sectPr>
          <w:type w:val="continuous"/>
          <w:pgSz w:w="11909" w:h="16838"/>
          <w:pgMar w:top="121" w:left="3050" w:right="2834" w:bottom="371" w:header="0" w:footer="3" w:gutter="0"/>
          <w:rtlGutter w:val="0"/>
          <w:cols w:space="720"/>
          <w:noEndnote/>
          <w:docGrid w:linePitch="360"/>
        </w:sectPr>
      </w:pPr>
      <w:r>
        <w:rPr>
          <w:lang w:val="ru-RU" w:eastAsia="ru-RU" w:bidi="ru-RU"/>
          <w:w w:val="100"/>
          <w:spacing w:val="0"/>
          <w:color w:val="000000"/>
          <w:position w:val="0"/>
        </w:rPr>
        <w:t>РЕШЕНИЕ по делу № 077/06/106-11744/2022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4"/>
        <w:framePr w:h="240" w:wrap="around" w:vAnchor="text" w:hAnchor="margin" w:x="8879" w:y="6"/>
        <w:widowControl w:val="0"/>
        <w:keepNext w:val="0"/>
        <w:keepLines w:val="0"/>
        <w:shd w:val="clear" w:color="auto" w:fill="auto"/>
        <w:bidi w:val="0"/>
        <w:jc w:val="left"/>
        <w:spacing w:before="0" w:after="0" w:line="240" w:lineRule="exact"/>
        <w:ind w:left="100" w:right="0" w:firstLine="0"/>
      </w:pPr>
      <w:r>
        <w:rPr>
          <w:rStyle w:val="CharStyle36"/>
          <w:b/>
          <w:bCs/>
          <w:spacing w:val="0"/>
        </w:rPr>
        <w:t>г. Москва</w:t>
      </w:r>
    </w:p>
    <w:p>
      <w:pPr>
        <w:pStyle w:val="Style34"/>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09.08.2022</w:t>
      </w:r>
    </w:p>
    <w:p>
      <w:pPr>
        <w:pStyle w:val="Style26"/>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6"/>
        <w:widowControl w:val="0"/>
        <w:keepNext w:val="0"/>
        <w:keepLines w:val="0"/>
        <w:shd w:val="clear" w:color="auto" w:fill="auto"/>
        <w:bidi w:val="0"/>
        <w:jc w:val="both"/>
        <w:spacing w:before="0" w:after="0" w:line="350" w:lineRule="exact"/>
        <w:ind w:left="0" w:right="20" w:firstLine="68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26"/>
        <w:widowControl w:val="0"/>
        <w:keepNext w:val="0"/>
        <w:keepLines w:val="0"/>
        <w:shd w:val="clear" w:color="auto" w:fill="auto"/>
        <w:bidi w:val="0"/>
        <w:jc w:val="both"/>
        <w:spacing w:before="0" w:after="0" w:line="350" w:lineRule="exact"/>
        <w:ind w:left="0" w:right="0" w:firstLine="680"/>
      </w:pPr>
      <w:r>
        <w:rPr>
          <w:lang w:val="ru-RU" w:eastAsia="ru-RU" w:bidi="ru-RU"/>
          <w:w w:val="100"/>
          <w:spacing w:val="0"/>
          <w:color w:val="000000"/>
          <w:position w:val="0"/>
        </w:rPr>
        <w:t>Члены Комиссии:</w:t>
      </w:r>
    </w:p>
    <w:p>
      <w:pPr>
        <w:pStyle w:val="Style26"/>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26"/>
        <w:widowControl w:val="0"/>
        <w:keepNext w:val="0"/>
        <w:keepLines w:val="0"/>
        <w:shd w:val="clear" w:color="auto" w:fill="auto"/>
        <w:bidi w:val="0"/>
        <w:jc w:val="both"/>
        <w:spacing w:before="0" w:after="0"/>
        <w:ind w:left="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26"/>
        <w:tabs>
          <w:tab w:leader="none" w:pos="600"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Н.С. Лушниковой,</w:t>
      </w:r>
    </w:p>
    <w:p>
      <w:pPr>
        <w:pStyle w:val="Style26"/>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6"/>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при участии представителя ГБУЗ «ГКБ им. А.К. Ерамишанцева ДЗМ»: Лазаревой Е.Ю. (по доверенности от 24.08.2021 №б/н),</w:t>
      </w:r>
    </w:p>
    <w:p>
      <w:pPr>
        <w:pStyle w:val="Style26"/>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 отсутствии представителей ООО «Технопарк Энергоспектр», уведомленных надлежащим образом о времени и порядке заседания письмом Московского УФАС №ЕИ/40714/22 от 04.08.2022.</w:t>
      </w:r>
    </w:p>
    <w:p>
      <w:pPr>
        <w:pStyle w:val="Style26"/>
        <w:widowControl w:val="0"/>
        <w:keepNext w:val="0"/>
        <w:keepLines w:val="0"/>
        <w:shd w:val="clear" w:color="auto" w:fill="auto"/>
        <w:bidi w:val="0"/>
        <w:jc w:val="both"/>
        <w:spacing w:before="0" w:after="236"/>
        <w:ind w:left="0" w:right="20" w:firstLine="680"/>
      </w:pPr>
      <w:r>
        <w:rPr>
          <w:lang w:val="ru-RU" w:eastAsia="ru-RU" w:bidi="ru-RU"/>
          <w:w w:val="100"/>
          <w:spacing w:val="0"/>
          <w:color w:val="000000"/>
          <w:position w:val="0"/>
        </w:rPr>
        <w:t>рассмотрев жалобу ООО «Технопарк Энергоспектр» (далее — Заявитель) на действия ГБУЗ «ГКБ им. А.К. Ерамишанцева ДЗМ» (далее — Заказчик) при проведении электронного аукциона на право заключения государственного контракта на поставку и замену аккумуляторных батарей для нужд ГБУЗ «ГКБ им.</w:t>
      </w:r>
    </w:p>
    <w:p>
      <w:pPr>
        <w:pStyle w:val="Style37"/>
        <w:widowControl w:val="0"/>
        <w:keepNext w:val="0"/>
        <w:keepLines w:val="0"/>
        <w:shd w:val="clear" w:color="auto" w:fill="auto"/>
        <w:bidi w:val="0"/>
        <w:jc w:val="left"/>
        <w:spacing w:before="0" w:after="0" w:line="240" w:lineRule="auto"/>
        <w:ind w:left="0" w:right="0" w:firstLine="0"/>
        <w:sectPr>
          <w:type w:val="continuous"/>
          <w:pgSz w:w="11909" w:h="16838"/>
          <w:pgMar w:top="121" w:left="847" w:right="852" w:bottom="371" w:header="0" w:footer="3" w:gutter="0"/>
          <w:rtlGutter w:val="0"/>
          <w:cols w:space="720"/>
          <w:noEndnote/>
          <w:docGrid w:linePitch="360"/>
        </w:sectPr>
      </w:pPr>
      <w:r>
        <w:rPr>
          <w:w w:val="100"/>
          <w:spacing w:val="0"/>
          <w:color w:val="000000"/>
          <w:position w:val="0"/>
        </w:rPr>
        <w:t>000575645239</w:t>
      </w:r>
    </w:p>
    <w:p>
      <w:pPr>
        <w:pStyle w:val="Style26"/>
        <w:tabs>
          <w:tab w:leader="none" w:pos="649" w:val="left"/>
        </w:tabs>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А.К. Ерамишанцева ДЗМ» в 2022 году (Закупка № 0373200152822000259)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-Административный регламент),</w:t>
      </w:r>
    </w:p>
    <w:p>
      <w:pPr>
        <w:pStyle w:val="Style39"/>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исх.№ЕИ/40714/22 от 04.08.2022.</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силу пп.1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26"/>
        <w:numPr>
          <w:ilvl w:val="0"/>
          <w:numId w:val="1"/>
        </w:numPr>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6"/>
        <w:numPr>
          <w:ilvl w:val="0"/>
          <w:numId w:val="1"/>
        </w:numPr>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ч.2 ст.33 Закона о контрактной системе документация о закупке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6"/>
        <w:numPr>
          <w:ilvl w:val="0"/>
          <w:numId w:val="3"/>
        </w:numPr>
        <w:tabs>
          <w:tab w:leader="none" w:pos="1110"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составе жалобы Заявитель указывает, что 27.07.2022г Заявителем направлены запросы РИ№1 и РИ№2 Заказчику о даче разъяснений положений извещения, со следующим содержанием:</w:t>
      </w:r>
    </w:p>
    <w:p>
      <w:pPr>
        <w:pStyle w:val="Style41"/>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«Уважаемый заказчик, в техническом задании по закупке № 0373200152822000259 указаны характеристики товара (аккумуляторных батарей) без возможности поставки эквивалента/аналога.</w:t>
      </w:r>
    </w:p>
    <w:p>
      <w:pPr>
        <w:pStyle w:val="Style41"/>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Все характеристики соответствуют только одному производителю, т.к. параметры указаны без возможности выбора (например, Длина, мм-175 , Ширина, мм- 166 Высота, мм.-123), что является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и Федерального закона от 26.07.2006 № 135-ФЗ ”О защите конкуренции”. Просим вас внести изменения в ТЗ, и прописать возможность поставки Эквивалента, а также возможные характеристики у аналогов/эквивалентов.</w:t>
      </w:r>
    </w:p>
    <w:p>
      <w:pPr>
        <w:pStyle w:val="Style41"/>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Ответ:</w:t>
      </w:r>
    </w:p>
    <w:p>
      <w:pPr>
        <w:pStyle w:val="Style41"/>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Уважаемый участник, в аукционную документацию внесены изменения».</w:t>
      </w:r>
    </w:p>
    <w:p>
      <w:pPr>
        <w:pStyle w:val="Style41"/>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«Уважаемый Заказчик!</w:t>
      </w:r>
    </w:p>
    <w:p>
      <w:pPr>
        <w:pStyle w:val="Style41"/>
        <w:tabs>
          <w:tab w:leader="none" w:pos="8514" w:val="left"/>
        </w:tabs>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В требованиях к поставляемому товару прописано:</w:t>
        <w:tab/>
        <w:t>«В связи с</w:t>
      </w:r>
    </w:p>
    <w:p>
      <w:pPr>
        <w:pStyle w:val="Style41"/>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необходимостью обеспечения взаимодействия закупаемых запасных частей и имеющимся оборудованием, допускается поставка только рекомендованных производителем оборудования оригинальных запасных частей.»</w:t>
      </w:r>
    </w:p>
    <w:p>
      <w:pPr>
        <w:pStyle w:val="Style41"/>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В инструкции к Источнику бесперебойного питания </w:t>
      </w:r>
      <w:r>
        <w:rPr>
          <w:lang w:val="en-US" w:eastAsia="en-US" w:bidi="en-US"/>
          <w:w w:val="100"/>
          <w:spacing w:val="0"/>
          <w:color w:val="000000"/>
          <w:position w:val="0"/>
        </w:rPr>
        <w:t xml:space="preserve">SOCOMEC MGP4GP380T </w:t>
      </w:r>
      <w:r>
        <w:rPr>
          <w:lang w:val="ru-RU" w:eastAsia="ru-RU" w:bidi="ru-RU"/>
          <w:w w:val="100"/>
          <w:spacing w:val="0"/>
          <w:color w:val="000000"/>
          <w:position w:val="0"/>
        </w:rPr>
        <w:t xml:space="preserve">производитель </w:t>
      </w:r>
      <w:r>
        <w:rPr>
          <w:lang w:val="en-US" w:eastAsia="en-US" w:bidi="en-US"/>
          <w:w w:val="100"/>
          <w:spacing w:val="0"/>
          <w:color w:val="000000"/>
          <w:position w:val="0"/>
        </w:rPr>
        <w:t xml:space="preserve">SOCOMEC GROUP </w:t>
      </w:r>
      <w:r>
        <w:rPr>
          <w:lang w:val="ru-RU" w:eastAsia="ru-RU" w:bidi="ru-RU"/>
          <w:w w:val="100"/>
          <w:spacing w:val="0"/>
          <w:color w:val="000000"/>
          <w:position w:val="0"/>
        </w:rPr>
        <w:t>Италия не прописан список</w:t>
      </w:r>
    </w:p>
    <w:p>
      <w:pPr>
        <w:pStyle w:val="Style41"/>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рекомендованных аккумуляторных батарей.</w:t>
      </w:r>
    </w:p>
    <w:p>
      <w:pPr>
        <w:pStyle w:val="Style41"/>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Просим описание объекта закупки привести в соответствие согласно ст.33 №44-ФЗ (ред. от 03.08.2018) «О контрактной системе в сфере закупок товаров, работ, услуг для обеспечения государственных и муниципальных нужд», так как Заказчик не указал в описании основные максимальные и минимальные показатели (емкость, напряжение, габаритные размеры, вес и т.д.)</w:t>
      </w:r>
    </w:p>
    <w:p>
      <w:pPr>
        <w:pStyle w:val="Style41"/>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Просим внести изменения в техническую часть аукционной документации.</w:t>
      </w:r>
    </w:p>
    <w:p>
      <w:pPr>
        <w:pStyle w:val="Style41"/>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Ответ:</w:t>
      </w:r>
    </w:p>
    <w:p>
      <w:pPr>
        <w:pStyle w:val="Style41"/>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Уважаемый участник, в аукционную документацию внесены изменения».</w:t>
      </w:r>
    </w:p>
    <w:p>
      <w:pPr>
        <w:pStyle w:val="Style26"/>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Однако, по мнению Заявителя, Заказчиком не дан ответ по существу поданных запросов и не предусмотрена возможность поставить эквивалентных товаров.</w:t>
      </w:r>
    </w:p>
    <w:p>
      <w:pPr>
        <w:pStyle w:val="Style26"/>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26"/>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6"/>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 xml:space="preserve">На заседании Комиссии Управления представитель Заказчика пояснил, Техническое задание содержало требование к поставляемым товарам «В связи с необходимостью обеспечения взаимодействия закупаемых запасных частей и имеющимся оборудованием, допускается поставка только рекомендованных производителем оборудования </w:t>
      </w:r>
      <w:r>
        <w:rPr>
          <w:rStyle w:val="CharStyle43"/>
        </w:rPr>
        <w:t>оригинальных</w:t>
      </w:r>
      <w:r>
        <w:rPr>
          <w:lang w:val="ru-RU" w:eastAsia="ru-RU" w:bidi="ru-RU"/>
          <w:w w:val="100"/>
          <w:spacing w:val="0"/>
          <w:color w:val="000000"/>
          <w:position w:val="0"/>
        </w:rPr>
        <w:t xml:space="preserve"> запасных частей».</w:t>
      </w:r>
    </w:p>
    <w:p>
      <w:pPr>
        <w:pStyle w:val="Style26"/>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Вместе с тем после получения запросов на разъяснения положений извещения о проведении аукциона Заказчиком исключено требование об оригинальности предлагаемых запасных частей и у участников закупки имеется возможность предложить эквивалентную продукцию.</w:t>
      </w:r>
    </w:p>
    <w:p>
      <w:pPr>
        <w:pStyle w:val="Style26"/>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 xml:space="preserve">В тоже время представитель Заказчика отметил, что закупка аккумуляторных батарей осуществляется с целью их замены в ИБП марки </w:t>
      </w:r>
      <w:r>
        <w:rPr>
          <w:lang w:val="en-US" w:eastAsia="en-US" w:bidi="en-US"/>
          <w:w w:val="100"/>
          <w:spacing w:val="0"/>
          <w:color w:val="000000"/>
          <w:position w:val="0"/>
        </w:rPr>
        <w:t xml:space="preserve">Socomec model </w:t>
      </w:r>
      <w:r>
        <w:rPr>
          <w:lang w:val="ru-RU" w:eastAsia="ru-RU" w:bidi="ru-RU"/>
          <w:w w:val="100"/>
          <w:spacing w:val="0"/>
          <w:color w:val="000000"/>
          <w:position w:val="0"/>
        </w:rPr>
        <w:t xml:space="preserve">№ </w:t>
      </w:r>
      <w:r>
        <w:rPr>
          <w:lang w:val="en-US" w:eastAsia="en-US" w:bidi="en-US"/>
          <w:w w:val="100"/>
          <w:spacing w:val="0"/>
          <w:color w:val="000000"/>
          <w:position w:val="0"/>
        </w:rPr>
        <w:t xml:space="preserve">MGP4GP380T-00. </w:t>
      </w:r>
      <w:r>
        <w:rPr>
          <w:lang w:val="ru-RU" w:eastAsia="ru-RU" w:bidi="ru-RU"/>
          <w:w w:val="100"/>
          <w:spacing w:val="0"/>
          <w:color w:val="000000"/>
          <w:position w:val="0"/>
        </w:rPr>
        <w:t>Данные источники бесперебойного питания размещены в шкафах, имеющих уже установленные разъемы соответствующих размеров, в связи с чем Заказчиком установлены конкретные габаритные размеры аккумуляторных батарей.</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При этом в заседании Комиссии Управления представитель Заявителя участия не принял, а также в составе жалобы не представлено документов и сведений, свидетельствующих о ненадлежащих разъяснениях положений извещения, а также невозможности формирования заявки в соответствии с требованиями документации,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Таким образом, Комиссия Управления приходит к выводу, что вышеуказанные доводы жалобы не нашли своего подтверждения и являются необоснованными.</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2. Также в составе жалобы Заявитель указывает, что совокупности установленным требованиям для товара по п. «Аккумулятор» соответствует продукция единственного производителя, при этом ограничивающими характеристиками являются:</w:t>
      </w:r>
    </w:p>
    <w:p>
      <w:pPr>
        <w:pStyle w:val="Style26"/>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«Длина:175 мм»,</w:t>
      </w:r>
    </w:p>
    <w:p>
      <w:pPr>
        <w:pStyle w:val="Style26"/>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«Ширина: 166 мм»,</w:t>
      </w:r>
    </w:p>
    <w:p>
      <w:pPr>
        <w:pStyle w:val="Style26"/>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«Высота 123 мм»,</w:t>
      </w:r>
    </w:p>
    <w:p>
      <w:pPr>
        <w:pStyle w:val="Style26"/>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«Полная высота 125 мм».</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На заседании Комиссии Управления представитель Заказчика указал, что требованиям Технического задания соответствует аккумулятор </w:t>
      </w:r>
      <w:r>
        <w:rPr>
          <w:lang w:val="en-US" w:eastAsia="en-US" w:bidi="en-US"/>
          <w:w w:val="100"/>
          <w:spacing w:val="0"/>
          <w:color w:val="000000"/>
          <w:position w:val="0"/>
        </w:rPr>
        <w:t xml:space="preserve">GP12-26 </w:t>
      </w:r>
      <w:r>
        <w:rPr>
          <w:lang w:val="ru-RU" w:eastAsia="ru-RU" w:bidi="ru-RU"/>
          <w:w w:val="100"/>
          <w:spacing w:val="0"/>
          <w:color w:val="000000"/>
          <w:position w:val="0"/>
        </w:rPr>
        <w:t xml:space="preserve">производства ООО «Вектор-Баттери», Россия и аккумулятор </w:t>
      </w:r>
      <w:r>
        <w:rPr>
          <w:lang w:val="en-US" w:eastAsia="en-US" w:bidi="en-US"/>
          <w:w w:val="100"/>
          <w:spacing w:val="0"/>
          <w:color w:val="000000"/>
          <w:position w:val="0"/>
        </w:rPr>
        <w:t xml:space="preserve">BPS26-12 </w:t>
      </w:r>
      <w:r>
        <w:rPr>
          <w:lang w:val="ru-RU" w:eastAsia="ru-RU" w:bidi="ru-RU"/>
          <w:w w:val="100"/>
          <w:spacing w:val="0"/>
          <w:color w:val="000000"/>
          <w:position w:val="0"/>
        </w:rPr>
        <w:t xml:space="preserve">производства </w:t>
      </w:r>
      <w:r>
        <w:rPr>
          <w:lang w:val="en-US" w:eastAsia="en-US" w:bidi="en-US"/>
          <w:w w:val="100"/>
          <w:spacing w:val="0"/>
          <w:color w:val="000000"/>
          <w:position w:val="0"/>
        </w:rPr>
        <w:t xml:space="preserve">B.B. Battery Co. Ltd., </w:t>
      </w:r>
      <w:r>
        <w:rPr>
          <w:lang w:val="ru-RU" w:eastAsia="ru-RU" w:bidi="ru-RU"/>
          <w:w w:val="100"/>
          <w:spacing w:val="0"/>
          <w:color w:val="000000"/>
          <w:position w:val="0"/>
        </w:rPr>
        <w:t>Китай, что подтверждается представленными документами и сведениями.</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Комиссия Управления также обращает особое внимание, что при предъявленные Заказчиком требования к необходимому к поставке товару в равной степени распространялись на всех участников аукциона.</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обязывающих Заказчика устанавливать в аукционной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26"/>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26"/>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 xml:space="preserve">Вместе с тем в заседании Комиссии Управления Заявитель участия не принял, а также в составе жалобы Заявителем не представлено документов и сведений, свидетельствующих о невозможности предложения к поставке аккумуляторов </w:t>
      </w:r>
      <w:r>
        <w:rPr>
          <w:lang w:val="en-US" w:eastAsia="en-US" w:bidi="en-US"/>
          <w:w w:val="100"/>
          <w:spacing w:val="0"/>
          <w:color w:val="000000"/>
          <w:position w:val="0"/>
        </w:rPr>
        <w:t xml:space="preserve">GP12-26 </w:t>
      </w:r>
      <w:r>
        <w:rPr>
          <w:lang w:val="ru-RU" w:eastAsia="ru-RU" w:bidi="ru-RU"/>
          <w:w w:val="100"/>
          <w:spacing w:val="0"/>
          <w:color w:val="000000"/>
          <w:position w:val="0"/>
        </w:rPr>
        <w:t xml:space="preserve">производства ООО «Вектор-Баттери», Россия и </w:t>
      </w:r>
      <w:r>
        <w:rPr>
          <w:lang w:val="en-US" w:eastAsia="en-US" w:bidi="en-US"/>
          <w:w w:val="100"/>
          <w:spacing w:val="0"/>
          <w:color w:val="000000"/>
          <w:position w:val="0"/>
        </w:rPr>
        <w:t xml:space="preserve">BPS26-12 </w:t>
      </w:r>
      <w:r>
        <w:rPr>
          <w:lang w:val="ru-RU" w:eastAsia="ru-RU" w:bidi="ru-RU"/>
          <w:w w:val="100"/>
          <w:spacing w:val="0"/>
          <w:color w:val="000000"/>
          <w:position w:val="0"/>
        </w:rPr>
        <w:t>производства</w:t>
      </w:r>
    </w:p>
    <w:p>
      <w:pPr>
        <w:pStyle w:val="Style26"/>
        <w:numPr>
          <w:ilvl w:val="0"/>
          <w:numId w:val="5"/>
        </w:numPr>
        <w:tabs>
          <w:tab w:leader="none" w:pos="778" w:val="left"/>
        </w:tabs>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B. Battery Co. Ltd., </w:t>
      </w:r>
      <w:r>
        <w:rPr>
          <w:lang w:val="ru-RU" w:eastAsia="ru-RU" w:bidi="ru-RU"/>
          <w:w w:val="100"/>
          <w:spacing w:val="0"/>
          <w:color w:val="000000"/>
          <w:position w:val="0"/>
        </w:rPr>
        <w:t>Китай, что могло бы подтверждать невозможность формирования заявки в соответствии с требованиями документации.</w:t>
      </w:r>
    </w:p>
    <w:p>
      <w:pPr>
        <w:pStyle w:val="Style26"/>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Также согласно протоколу подведения итогов определения поставщика (подрядчика, исполнителя) от 08.08.2022 №ИЭА1 участниками закупки подано 3 заявки на участие, что также свидетельствует об отсутствии ограничения количества участников закупки.</w:t>
      </w:r>
    </w:p>
    <w:p>
      <w:pPr>
        <w:pStyle w:val="Style26"/>
        <w:widowControl w:val="0"/>
        <w:keepNext w:val="0"/>
        <w:keepLines w:val="0"/>
        <w:shd w:val="clear" w:color="auto" w:fill="auto"/>
        <w:bidi w:val="0"/>
        <w:jc w:val="both"/>
        <w:spacing w:before="0" w:after="0"/>
        <w:ind w:left="20" w:right="20" w:firstLine="660"/>
      </w:pPr>
      <w:r>
        <w:rPr>
          <w:lang w:val="ru-RU" w:eastAsia="ru-RU" w:bidi="ru-RU"/>
          <w:w w:val="100"/>
          <w:spacing w:val="0"/>
          <w:color w:val="000000"/>
          <w:position w:val="0"/>
        </w:rPr>
        <w:t>Таким образом, Комиссия Управления приходит к выводу, что доводы жалобы не нашли своего подтверждения и являются необоснованными.</w:t>
      </w:r>
    </w:p>
    <w:p>
      <w:pPr>
        <w:pStyle w:val="Style26"/>
        <w:widowControl w:val="0"/>
        <w:keepNext w:val="0"/>
        <w:keepLines w:val="0"/>
        <w:shd w:val="clear" w:color="auto" w:fill="auto"/>
        <w:bidi w:val="0"/>
        <w:jc w:val="both"/>
        <w:spacing w:before="0" w:after="349"/>
        <w:ind w:left="20" w:right="20" w:firstLine="6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9"/>
        <w:widowControl w:val="0"/>
        <w:keepNext/>
        <w:keepLines/>
        <w:shd w:val="clear" w:color="auto" w:fill="auto"/>
        <w:bidi w:val="0"/>
        <w:jc w:val="center"/>
        <w:spacing w:before="0" w:after="299"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26"/>
        <w:numPr>
          <w:ilvl w:val="0"/>
          <w:numId w:val="7"/>
        </w:numPr>
        <w:widowControl w:val="0"/>
        <w:keepNext w:val="0"/>
        <w:keepLines w:val="0"/>
        <w:shd w:val="clear" w:color="auto" w:fill="auto"/>
        <w:bidi w:val="0"/>
        <w:jc w:val="both"/>
        <w:spacing w:before="0" w:after="0" w:line="326" w:lineRule="exact"/>
        <w:ind w:left="20" w:right="20" w:firstLine="660"/>
      </w:pPr>
      <w:r>
        <w:rPr>
          <w:lang w:val="ru-RU" w:eastAsia="ru-RU" w:bidi="ru-RU"/>
          <w:w w:val="100"/>
          <w:spacing w:val="0"/>
          <w:color w:val="000000"/>
          <w:position w:val="0"/>
        </w:rPr>
        <w:t xml:space="preserve"> Признать жалобу ООО «Технопарк Энергоспектр» на действия ГБУЗ «ГКБ им. А.К. Ерамишанцева ДЗМ» необоснованной.</w:t>
      </w:r>
    </w:p>
    <w:p>
      <w:pPr>
        <w:pStyle w:val="Style26"/>
        <w:numPr>
          <w:ilvl w:val="0"/>
          <w:numId w:val="7"/>
        </w:numPr>
        <w:widowControl w:val="0"/>
        <w:keepNext w:val="0"/>
        <w:keepLines w:val="0"/>
        <w:shd w:val="clear" w:color="auto" w:fill="auto"/>
        <w:bidi w:val="0"/>
        <w:jc w:val="both"/>
        <w:spacing w:before="0" w:after="300"/>
        <w:ind w:left="20" w:right="20" w:firstLine="66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аукционов, наложенные письмом Московского УФАС России исх. №ЕИ/40714/22 от 04.08.2022.</w:t>
      </w:r>
    </w:p>
    <w:p>
      <w:pPr>
        <w:pStyle w:val="Style26"/>
        <w:widowControl w:val="0"/>
        <w:keepNext w:val="0"/>
        <w:keepLines w:val="0"/>
        <w:shd w:val="clear" w:color="auto" w:fill="auto"/>
        <w:bidi w:val="0"/>
        <w:jc w:val="both"/>
        <w:spacing w:before="0" w:after="527"/>
        <w:ind w:left="20" w:right="20" w:firstLine="6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26"/>
        <w:tabs>
          <w:tab w:leader="none" w:pos="8804"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Председательствующий</w:t>
        <w:tab/>
        <w:t>К.А. Сомов</w:t>
      </w:r>
    </w:p>
    <w:p>
      <w:pPr>
        <w:pStyle w:val="Style26"/>
        <w:tabs>
          <w:tab w:leader="none" w:pos="8684" w:val="right"/>
          <w:tab w:leader="none" w:pos="10196"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А.А.</w:t>
        <w:tab/>
        <w:t>Кутейников</w:t>
      </w:r>
    </w:p>
    <w:p>
      <w:pPr>
        <w:pStyle w:val="Style26"/>
        <w:widowControl w:val="0"/>
        <w:keepNext w:val="0"/>
        <w:keepLines w:val="0"/>
        <w:shd w:val="clear" w:color="auto" w:fill="auto"/>
        <w:bidi w:val="0"/>
        <w:jc w:val="right"/>
        <w:spacing w:before="0" w:after="1207" w:line="638" w:lineRule="exact"/>
        <w:ind w:left="0" w:right="20" w:firstLine="0"/>
      </w:pPr>
      <w:r>
        <w:rPr>
          <w:lang w:val="ru-RU" w:eastAsia="ru-RU" w:bidi="ru-RU"/>
          <w:w w:val="100"/>
          <w:spacing w:val="0"/>
          <w:color w:val="000000"/>
          <w:position w:val="0"/>
        </w:rPr>
        <w:t>Н.С. Лушникова</w:t>
      </w:r>
    </w:p>
    <w:p>
      <w:pPr>
        <w:pStyle w:val="Style23"/>
        <w:widowControl w:val="0"/>
        <w:keepNext w:val="0"/>
        <w:keepLines w:val="0"/>
        <w:shd w:val="clear" w:color="auto" w:fill="auto"/>
        <w:bidi w:val="0"/>
        <w:jc w:val="left"/>
        <w:spacing w:before="0" w:after="0" w:line="254" w:lineRule="exact"/>
        <w:ind w:left="20" w:right="8200" w:firstLine="0"/>
      </w:pPr>
      <w:r>
        <w:rPr>
          <w:lang w:val="ru-RU" w:eastAsia="ru-RU" w:bidi="ru-RU"/>
          <w:w w:val="100"/>
          <w:spacing w:val="0"/>
          <w:color w:val="000000"/>
          <w:position w:val="0"/>
        </w:rPr>
        <w:t>Исп.Кутейников А.А. тел.8(495)784-75-05</w:t>
      </w:r>
    </w:p>
    <w:sectPr>
      <w:pgSz w:w="11909" w:h="16838"/>
      <w:pgMar w:top="1259" w:left="849" w:right="826" w:bottom="112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5.45pt;width:56.65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b/>
                    <w:bCs/>
                  </w:rPr>
                  <w:t>2022-45081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85pt;margin-top:806.pt;width:56.15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b/>
                    <w:bCs/>
                  </w:rPr>
                  <w:t>2022-45081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pt;margin-top:38.25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upperLetter"/>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0"/>
      <w:szCs w:val="10"/>
      <w:rFonts w:ascii="Tahoma" w:eastAsia="Tahoma" w:hAnsi="Tahoma" w:cs="Tahoma"/>
      <w:w w:val="200"/>
    </w:rPr>
  </w:style>
  <w:style w:type="character" w:customStyle="1" w:styleId="CharStyle5">
    <w:name w:val="Подпись к картинке"/>
    <w:basedOn w:val="CharStyle4"/>
    <w:rPr>
      <w:lang w:val="ru-RU" w:eastAsia="ru-RU" w:bidi="ru-RU"/>
      <w:spacing w:val="0"/>
      <w:color w:val="000000"/>
      <w:position w:val="0"/>
    </w:rPr>
  </w:style>
  <w:style w:type="character" w:customStyle="1" w:styleId="CharStyle7">
    <w:name w:val="Колонтитул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6) Exact"/>
    <w:basedOn w:val="DefaultParagraphFont"/>
    <w:link w:val="Style9"/>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1">
    <w:name w:val="Основной текст (6) Exact"/>
    <w:basedOn w:val="CharStyle10"/>
    <w:rPr>
      <w:lang w:val="ru-RU" w:eastAsia="ru-RU" w:bidi="ru-RU"/>
      <w:w w:val="100"/>
      <w:color w:val="000000"/>
      <w:position w:val="0"/>
    </w:rPr>
  </w:style>
  <w:style w:type="character" w:customStyle="1" w:styleId="CharStyle13">
    <w:name w:val="Основной текст (2)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2)"/>
    <w:basedOn w:val="CharStyle13"/>
    <w:rPr>
      <w:lang w:val="ru-RU" w:eastAsia="ru-RU" w:bidi="ru-RU"/>
      <w:w w:val="100"/>
      <w:spacing w:val="0"/>
      <w:color w:val="000000"/>
      <w:position w:val="0"/>
    </w:rPr>
  </w:style>
  <w:style w:type="character" w:customStyle="1" w:styleId="CharStyle15">
    <w:name w:val="Основной текст (2)"/>
    <w:basedOn w:val="CharStyle13"/>
    <w:rPr>
      <w:lang w:val="ru-RU" w:eastAsia="ru-RU" w:bidi="ru-RU"/>
      <w:u w:val="single"/>
      <w:w w:val="100"/>
      <w:spacing w:val="0"/>
      <w:color w:val="000000"/>
      <w:position w:val="0"/>
    </w:rPr>
  </w:style>
  <w:style w:type="character" w:customStyle="1" w:styleId="CharStyle17">
    <w:name w:val="Основной текст (3)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3)"/>
    <w:basedOn w:val="CharStyle17"/>
    <w:rPr>
      <w:lang w:val="ru-RU" w:eastAsia="ru-RU" w:bidi="ru-RU"/>
      <w:w w:val="100"/>
      <w:spacing w:val="0"/>
      <w:color w:val="000000"/>
      <w:position w:val="0"/>
    </w:rPr>
  </w:style>
  <w:style w:type="character" w:customStyle="1" w:styleId="CharStyle19">
    <w:name w:val="Основной текст (3)"/>
    <w:basedOn w:val="CharStyle17"/>
    <w:rPr>
      <w:lang w:val="en-US" w:eastAsia="en-US" w:bidi="en-US"/>
      <w:u w:val="single"/>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17"/>
      <w:szCs w:val="17"/>
      <w:rFonts w:ascii="Tahoma" w:eastAsia="Tahoma" w:hAnsi="Tahoma" w:cs="Tahoma"/>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4">
    <w:name w:val="Основной текст (5)_"/>
    <w:basedOn w:val="DefaultParagraphFont"/>
    <w:link w:val="Style23"/>
    <w:rPr>
      <w:b/>
      <w:bCs/>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7">
    <w:name w:val="Основной текст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9) Exact"/>
    <w:basedOn w:val="DefaultParagraphFont"/>
    <w:link w:val="Style28"/>
    <w:rPr>
      <w:b w:val="0"/>
      <w:bCs w:val="0"/>
      <w:i w:val="0"/>
      <w:iCs w:val="0"/>
      <w:u w:val="none"/>
      <w:strike w:val="0"/>
      <w:smallCaps w:val="0"/>
      <w:sz w:val="28"/>
      <w:szCs w:val="28"/>
      <w:rFonts w:ascii="Tahoma" w:eastAsia="Tahoma" w:hAnsi="Tahoma" w:cs="Tahoma"/>
      <w:w w:val="200"/>
    </w:rPr>
  </w:style>
  <w:style w:type="character" w:customStyle="1" w:styleId="CharStyle30">
    <w:name w:val="Основной текст (9) Exact"/>
    <w:basedOn w:val="CharStyle29"/>
    <w:rPr>
      <w:lang w:val="ru-RU" w:eastAsia="ru-RU" w:bidi="ru-RU"/>
      <w:spacing w:val="0"/>
      <w:color w:val="000000"/>
      <w:position w:val="0"/>
    </w:rPr>
  </w:style>
  <w:style w:type="character" w:customStyle="1" w:styleId="CharStyle32">
    <w:name w:val="Основной текст (7)_"/>
    <w:basedOn w:val="DefaultParagraphFont"/>
    <w:link w:val="Style31"/>
    <w:rPr>
      <w:b w:val="0"/>
      <w:bCs w:val="0"/>
      <w:i w:val="0"/>
      <w:iCs w:val="0"/>
      <w:u w:val="none"/>
      <w:strike w:val="0"/>
      <w:smallCaps w:val="0"/>
      <w:sz w:val="54"/>
      <w:szCs w:val="54"/>
      <w:rFonts w:ascii="Times New Roman" w:eastAsia="Times New Roman" w:hAnsi="Times New Roman" w:cs="Times New Roman"/>
    </w:rPr>
  </w:style>
  <w:style w:type="character" w:customStyle="1" w:styleId="CharStyle33">
    <w:name w:val="Основной текст (7)"/>
    <w:basedOn w:val="CharStyle32"/>
    <w:rPr>
      <w:lang w:val="ru-RU" w:eastAsia="ru-RU" w:bidi="ru-RU"/>
      <w:w w:val="100"/>
      <w:spacing w:val="0"/>
      <w:color w:val="000000"/>
      <w:position w:val="0"/>
    </w:rPr>
  </w:style>
  <w:style w:type="character" w:customStyle="1" w:styleId="CharStyle35">
    <w:name w:val="Основной текст (8)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8)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8">
    <w:name w:val="Штрих-код (2)_"/>
    <w:basedOn w:val="DefaultParagraphFont"/>
    <w:link w:val="Style3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2">
    <w:name w:val="Основной текст (10)_"/>
    <w:basedOn w:val="DefaultParagraphFont"/>
    <w:link w:val="Style41"/>
    <w:rPr>
      <w:b w:val="0"/>
      <w:bCs w:val="0"/>
      <w:i/>
      <w:iCs/>
      <w:u w:val="none"/>
      <w:strike w:val="0"/>
      <w:smallCaps w:val="0"/>
      <w:sz w:val="26"/>
      <w:szCs w:val="26"/>
      <w:rFonts w:ascii="Times New Roman" w:eastAsia="Times New Roman" w:hAnsi="Times New Roman" w:cs="Times New Roman"/>
    </w:rPr>
  </w:style>
  <w:style w:type="character" w:customStyle="1" w:styleId="CharStyle43">
    <w:name w:val="Основной текст + Полужирный,Курсив"/>
    <w:basedOn w:val="CharStyle27"/>
    <w:rPr>
      <w:lang w:val="ru-RU" w:eastAsia="ru-RU" w:bidi="ru-RU"/>
      <w:b/>
      <w:bCs/>
      <w:i/>
      <w:iCs/>
      <w:w w:val="100"/>
      <w:spacing w:val="0"/>
      <w:color w:val="000000"/>
      <w:position w:val="0"/>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0"/>
      <w:szCs w:val="10"/>
      <w:rFonts w:ascii="Tahoma" w:eastAsia="Tahoma" w:hAnsi="Tahoma" w:cs="Tahoma"/>
      <w:w w:val="200"/>
    </w:rPr>
  </w:style>
  <w:style w:type="paragraph" w:customStyle="1" w:styleId="Style6">
    <w:name w:val="Колонтитул"/>
    <w:basedOn w:val="Normal"/>
    <w:link w:val="CharStyle7"/>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6)"/>
    <w:basedOn w:val="Normal"/>
    <w:link w:val="CharStyle10"/>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2">
    <w:name w:val="Основной текст (2)"/>
    <w:basedOn w:val="Normal"/>
    <w:link w:val="CharStyle13"/>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center"/>
      <w:spacing w:before="240"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before="240" w:after="240" w:line="0" w:lineRule="exact"/>
    </w:pPr>
    <w:rPr>
      <w:b w:val="0"/>
      <w:bCs w:val="0"/>
      <w:i w:val="0"/>
      <w:iCs w:val="0"/>
      <w:u w:val="none"/>
      <w:strike w:val="0"/>
      <w:smallCaps w:val="0"/>
      <w:sz w:val="17"/>
      <w:szCs w:val="17"/>
      <w:rFonts w:ascii="Tahoma" w:eastAsia="Tahoma" w:hAnsi="Tahoma" w:cs="Tahoma"/>
    </w:rPr>
  </w:style>
  <w:style w:type="paragraph" w:customStyle="1" w:styleId="Style23">
    <w:name w:val="Основной текст (5)"/>
    <w:basedOn w:val="Normal"/>
    <w:link w:val="CharStyle24"/>
    <w:pPr>
      <w:widowControl w:val="0"/>
      <w:shd w:val="clear" w:color="auto" w:fill="FFFFFF"/>
      <w:spacing w:before="24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6">
    <w:name w:val="Основной текст"/>
    <w:basedOn w:val="Normal"/>
    <w:link w:val="CharStyle27"/>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Основной текст (9)"/>
    <w:basedOn w:val="Normal"/>
    <w:link w:val="CharStyle29"/>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31">
    <w:name w:val="Основной текст (7)"/>
    <w:basedOn w:val="Normal"/>
    <w:link w:val="CharStyle32"/>
    <w:pPr>
      <w:widowControl w:val="0"/>
      <w:shd w:val="clear" w:color="auto" w:fill="FFFFFF"/>
      <w:spacing w:after="7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Штрих-код (2)"/>
    <w:basedOn w:val="Normal"/>
    <w:link w:val="CharStyle3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1">
    <w:name w:val="Основной текст (10)"/>
    <w:basedOn w:val="Normal"/>
    <w:link w:val="CharStyle42"/>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