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152" w:wrap="around" w:vAnchor="text" w:hAnchor="margin" w:x="4479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9pt;height:58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Республике Адыгея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99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Ленина, 40, г. Майкоп, 385000 Тел./факс: (8772) 57-05-22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to01@fas.gov.ru</w:t>
      </w:r>
      <w:r>
        <w:fldChar w:fldCharType="end"/>
      </w:r>
    </w:p>
    <w:p>
      <w:pPr>
        <w:pStyle w:val="Style7"/>
        <w:tabs>
          <w:tab w:leader="none" w:pos="1932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№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1" w:line="25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МОНОПОЛИЕМ ПЭШ1УЕКЮРЭ ФЕДЕРАЛЬНО КЪУЛЫКЪУР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82"/>
        <w:ind w:left="380" w:right="8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Монополией пэш1уек1орэ Федерально къулыкъум Адыгэ РеспубликэмкЬ и Гъэ1орыш1ап1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73"/>
        <w:ind w:left="0" w:right="6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Лениным иур., 40, къ. Мыекъуапэ, 385000 Тел./ф.чкс: (8772) 57-05-22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 to01@fas gov.ru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Адыгейское региональное отделение</w:t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вдпо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20" w:right="0" w:firstLine="0"/>
        <w:sectPr>
          <w:head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043" w:left="862" w:right="838" w:bottom="1014" w:header="0" w:footer="3" w:gutter="0"/>
          <w:rtlGutter w:val="0"/>
          <w:cols w:num="2" w:space="720" w:equalWidth="0">
            <w:col w:w="3744" w:space="1354"/>
            <w:col w:w="5112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3"/>
        </w:rPr>
        <w:instrText> HYPERLINK "mailto:arovdpo@rambler.ru" </w:instrText>
      </w:r>
      <w:r>
        <w:fldChar w:fldCharType="separate"/>
      </w:r>
      <w:r>
        <w:rPr>
          <w:rStyle w:val="Hyperlink"/>
        </w:rPr>
        <w:t>arovdpo@rambler.ru</w:t>
      </w:r>
      <w:r>
        <w:fldChar w:fldCharType="end"/>
      </w:r>
    </w:p>
    <w:p>
      <w:pPr>
        <w:widowControl w:val="0"/>
        <w:spacing w:before="77" w:after="7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" w:line="260" w:lineRule="exact"/>
        <w:ind w:left="5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ФГБОУ ВО «МГТУ»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5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3"/>
        </w:rPr>
        <w:instrText> HYPERLINK "mailto:zakupki@mkgtu.ru" </w:instrText>
      </w:r>
      <w:r>
        <w:fldChar w:fldCharType="separate"/>
      </w:r>
      <w:r>
        <w:rPr>
          <w:rStyle w:val="Hyperlink"/>
        </w:rPr>
        <w:t>zakupki@mkgtu.ru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0" w:line="31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106" w:line="31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001/06/31-401/2022 о нарушении законодательства о контрактной системе в сфере закупок</w:t>
      </w:r>
    </w:p>
    <w:p>
      <w:pPr>
        <w:pStyle w:val="Style9"/>
        <w:tabs>
          <w:tab w:leader="none" w:pos="8324" w:val="right"/>
          <w:tab w:leader="none" w:pos="846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6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 августа 2022 года</w:t>
        <w:tab/>
        <w:t>г.</w:t>
        <w:tab/>
        <w:t>Майкоп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80" w:line="317" w:lineRule="exact"/>
        <w:ind w:left="20" w:right="4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оглашена: 12.08.2022 Решение в полном объеме изготовлено: 12.08.2022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Управления Федеральной антимонопольной службы по Республике Адыгея по контролю в сфере закупок (далее - Комиссия У ФАС) в составе: председателя Комиссии УФАС - Женетля А.Ш., вр.и.о. руководителя; членов Комиссии УФАС: Блягоза Р.Х., главного специалиста-эксперта; Клюкиной Н.А., ведущего специалиста-эксперта, с участием представителей заявителя - Адыгейского регионального отделения Общероссийской общественной организации «Всероссийское добровольное пожарное общество» (далее - Заявитель) Бойко Д.Ю. и Платоновой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JLB.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(доверенность 12.08.2022), рассмотрев жалобу Заявителя на положения извещения о проведении заказчиком - Федеральным государственным бюджетным образовательным учреждением высшего образования «Майкопский государственный технологический университет» (далее - Заказчик) электронного аукциона на выполнение работ по установке системы экстренного речевого оповещения о чрезвычайных ситуациях в зданиях ФГБОУ ВО "МГТУ" (извещение №0376100002722000014) (далее - Аукцион), проведя внеплановую проверку на основании пункта 1 части 15 статьи 99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о контрактной системе),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5Нр$&amp;8еВшя,</w:t>
        <w:br w:type="page"/>
        <w:t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(далее - Административный регламент)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Республике Адыгея (далее - Адыгейское УФАС России) 08.08.2022 поступила жалоба Заявителя, в которой указано: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ограничено число участников закупки установлением лицензионных требований к видам работ, отсутствующим в извещении.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нарушены нормативы регламентирующих документов ГОСТ 59639-2021 и СП 133.13330.2012.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установлено требование гарантийного срока на качество выполненных работ, материалов и оборудования, смонтированного на Объекте - 5 лет, что противоречит законодательству.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Заявитель просит обязать Заказчика устранить допущенные нарушения и привести извещение о закупке в соответствие с законодательством РФ.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представил возражение на жалобу (исх. №01-У-3269/15 от 11.08.2022), в котором просит признать жалобу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 и проведения внеплановой проверки Комиссия УФАС установила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на официальном сайте единой информационной системы в сфере закупок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zakupki.gov.ru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Официальный сайт) 29.07.2022 размещено извещение о проведении Аукциона.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- 6 154 588,20 руб.</w:t>
      </w:r>
    </w:p>
    <w:p>
      <w:pPr>
        <w:pStyle w:val="Style9"/>
        <w:numPr>
          <w:ilvl w:val="0"/>
          <w:numId w:val="3"/>
        </w:numPr>
        <w:tabs>
          <w:tab w:leader="none" w:pos="10173" w:val="right"/>
          <w:tab w:leader="none" w:pos="140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об ограничении Заказчиком числа участников закупки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установлением лицензионных требований не нашел своего подтверждения.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31 Закона о контрактной системе при применении конкурентных способов, заказчик устанавливает единое требование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01.03.2022 вступила в силу новая редакция «Перечня работ и услуг, составляющих деятельность по монтажу, техническому обслуживанию и ремонту средств обеспечения пожарной безопасности зданий и сооружений» (далее - Перечень), являющегося Приложением к «Положению о лицензировании деятельности по монтажу, техническому обслуживанию и ремонту средств обеспечения пожарной безопасности зданий и сооружений», утвержденному постановлением Правительства Российской Федерации от 28 июля 2020 г. № 1128.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Пункты 5 и 6 Перечня теперь содержат следующие виды работ: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«5.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работ, в том числе фотолюминесцентных эвакуационных систем и их элементов.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6. Монтаж, техническое обслуживание и ремонт автоматических систем (элементов автоматических систем) передачи извещений о пожаре, включая диспетчеризацию и проведение пусконаладочных работ».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Данные требования указаны в извещении о проведении Аукциона в разделе «Требования к участникам» и в приложении к извещению «IV. Требования к содержанию, составу заявки на участие в закупке и инструкция по ее заполнению».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УФАС пришла к выводу, что Заказчик обоснованно установил перечень работ в требовании к участникам закупки о наличии лицензии, выданной Министерством Российской Федерации по делам гражданской обороны, чрезвычайным ситуациям и ликвидации последствий стихийных бедствий (или в выписке из реестра лицензий) на деятельность по монтажу, техническому обслуживанию и ремонту средств обеспечения пожарной безопасности зданий и сооружений, что подтверждается письмом Главного управления МЧС России по Республике Адыгея от 10.08.2022 № ИВ-220-2748.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 довода об отсутствии в проекте по установке системы экстренного речевого оповещения о чрезвычайных ситуациях в зданиях ФГБОУ ВО «МГТУ» функциональной схемы сопряжения с оборудованием пожарной сигнализации, схем электрических подключений к пожарной сигнализации и плана расположения зон контроля пожарной сигнализации, по мнению Комиссии УФАС, также является необоснованной, так как данная информация, в соответствии с письменным разъяснением Заказчика, указана в Рабочей документации.</w:t>
      </w:r>
    </w:p>
    <w:p>
      <w:pPr>
        <w:pStyle w:val="Style9"/>
        <w:numPr>
          <w:ilvl w:val="0"/>
          <w:numId w:val="3"/>
        </w:numPr>
        <w:tabs>
          <w:tab w:leader="none" w:pos="10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части жалобы о нарушении нормативов регламентирующих документов ГОСТ Р 59639-2021 и СП 133.13330.2012, Комиссия УФАС отмечает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Пункт 4.7 ГОСТ Р 59639-2021 (далее - ГОСТ) содержит: «При проектировании СОУЭ </w:t>
      </w:r>
      <w:r>
        <w:rPr>
          <w:rStyle w:val="CharStyle17"/>
        </w:rPr>
        <w:t xml:space="preserve">необходимо учитывать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распространение звуковых волн в защищаемом(ых) помещении(ях) с учетом: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уровня (мощности) звукового давления, применяемого пожарного звукового или речевого оповещателя, измеряемого в дБА;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уровня звука постоянного (фонового) шума в помещении;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наличия препятствий для распространения звуковых волн между абонентом и пожарным оповещателем (двери, стеллажи, оборудование, предметы мебели и т.д.);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объемно-планировочных решений помещения».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своем доводе Заявитель указывает, что данная информация отсутствует в проекте. Однако, вышеназванный ГОСТ не обязывает к размещению данной информации в проектной документации. Кроме того, Заявителем не представлены доказательства, что проект «Система экстренного речевого оповещения о чрезвычайных ситуациях» НТ 28-01/03-022-30 выполнен без учета показателей пункта 4.7 ГОСТа.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Пункты 6.8 и 6.9 Свода правил «СП 133.13330.2012. Сети проводного радиовещания и оповещения в зданиях и сооружениях. Нормы проектирования», а также справочное Приложение «А» «Упрощенный расчет числа громкоговорителей в системах оповещения» исключены из документа с 18.10.2017 (Изменение №1, утвержденное Приказом Минстроя России от 17.04.2017 № 712/п).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вышеизложенным Комиссия УФАС сделала вывод о необоснованности данного довода жалобы.</w:t>
      </w:r>
    </w:p>
    <w:p>
      <w:pPr>
        <w:pStyle w:val="Style9"/>
        <w:numPr>
          <w:ilvl w:val="0"/>
          <w:numId w:val="3"/>
        </w:numPr>
        <w:tabs>
          <w:tab w:leader="none" w:pos="107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пунктом 4 статьи 33 Закона о контрактной системе 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товара, </w:t>
      </w:r>
      <w:r>
        <w:rPr>
          <w:rStyle w:val="CharStyle17"/>
        </w:rPr>
        <w:t xml:space="preserve">устанавливаются заказчиком при необходимости.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случае определения поставщика машин и оборудования заказчик устанавливает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срока, а также к осуществлению монтажа и наладки товара, если это предусмотрено технической документацией на товар. В случае определения поставщика новых машин и оборудования заказчик устанавливает требования к предоставлению гарантии производителя и (или) поставщика данного товара и к сроку действия такой гарантии. Предоставление такой гарантии осуществляется вместе с данным товаром.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40" w:right="40"/>
      </w:pPr>
      <w:r>
        <w:rPr>
          <w:rStyle w:val="CharStyle20"/>
          <w:i w:val="0"/>
          <w:iCs w:val="0"/>
        </w:rPr>
        <w:t xml:space="preserve">Заказчик в Приложении «II. Описание объекта закупки» указал требования по сроку гарантий качества на результаты работ: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«гарантийный срок на качество выполненных работ, материалов и оборудования, смонтированного на объекте, начинается с даты подписания документов о приемке и устанавливается на 5 (пять) лет».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Статья 5 «Права и обязанности изготовителя (исполнителя, продавца) в области установления срока службы, срока годности товара (работы), а также гарантийного срока на товар (работу)» Закона Российской Федерации от 07.02.1992 № 230-1 «О защите прав потребителей» содержит пункт 7: </w:t>
      </w:r>
      <w:r>
        <w:rPr>
          <w:rStyle w:val="CharStyle21"/>
        </w:rPr>
        <w:t>«Продавец вправе установить на товар гарантийный срок, если он не установлен изготовителем.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4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Продавец </w:t>
      </w:r>
      <w:r>
        <w:rPr>
          <w:rStyle w:val="CharStyle22"/>
          <w:i/>
          <w:iCs/>
        </w:rPr>
        <w:t xml:space="preserve">вправе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принять обязательство в отношении недостатков товара, обнаруженных по истечении гарантийного срока, установленного изготовителем </w:t>
      </w:r>
      <w:r>
        <w:rPr>
          <w:rStyle w:val="CharStyle23"/>
          <w:i/>
          <w:iCs/>
        </w:rPr>
        <w:t>(дополнительное обязательство</w:t>
      </w:r>
      <w:r>
        <w:rPr>
          <w:lang w:val="ru-RU" w:eastAsia="ru-RU" w:bidi="ru-RU"/>
          <w:w w:val="100"/>
          <w:spacing w:val="0"/>
          <w:color w:val="000000"/>
          <w:position w:val="0"/>
        </w:rPr>
        <w:t>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4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Содержание дополнительного обязательства продавца, срок действия такого обязательства и порядок осуществления потребителем прав по такому обязательству </w:t>
      </w:r>
      <w:r>
        <w:rPr>
          <w:rStyle w:val="CharStyle22"/>
          <w:i/>
          <w:iCs/>
        </w:rPr>
        <w:t>определяются договором между потребителем и продавцом».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Соответственно, Заказчик не нарушает законодательство, устанавливая в проекте контракта гарантийный срок, превышающий сроки гарантии, определенные производителями оборудования, участвующего в монтаже системы оповещения.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Основываясь на вышеизложенном, Комиссия УФАС считает данный довод </w:t>
      </w:r>
      <w:r>
        <w:rPr>
          <w:rStyle w:val="CharStyle17"/>
        </w:rPr>
        <w:t>необоснованным.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статьями 99, 106 Федерального закона от 05.04.2013 №44-ФЗ «О контрактной системе в сфере закупок товаров, работ, услуг для государственных и муниципальных нужд», Административным регламентом, Комиссия УФАС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0" w:line="322" w:lineRule="exact"/>
        <w:ind w:left="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28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Адыгейского регионального отделения ВДПО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56" w:line="322" w:lineRule="exact"/>
        <w:ind w:left="0" w:right="28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framePr w:h="269" w:hSpace="2726" w:wrap="notBeside" w:vAnchor="text" w:hAnchor="text" w:x="6222" w:y="1"/>
        <w:widowControl w:val="0"/>
        <w:jc w:val="center"/>
        <w:rPr>
          <w:sz w:val="2"/>
          <w:szCs w:val="2"/>
        </w:rPr>
      </w:pPr>
      <w:r>
        <w:pict>
          <v:shape id="_x0000_s1028" type="#_x0000_t75" style="width:77pt;height:13pt;">
            <v:imagedata r:id="rId8" r:href="rId9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9"/>
        <w:tabs>
          <w:tab w:leader="none" w:pos="76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А.Ш. Женетль</w:t>
      </w:r>
    </w:p>
    <w:p>
      <w:pPr>
        <w:pStyle w:val="Style9"/>
        <w:tabs>
          <w:tab w:leader="none" w:pos="76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Р.Х. Блягоз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7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Клюкина</w:t>
      </w:r>
    </w:p>
    <w:sectPr>
      <w:type w:val="continuous"/>
      <w:pgSz w:w="11909" w:h="16838"/>
      <w:pgMar w:top="1494" w:left="749" w:right="677" w:bottom="115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8.1pt;margin-top:57.45pt;width:5.3pt;height:8.1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6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Заголовок №1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Колонтитул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Колонтитул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+ Полужирный"/>
    <w:basedOn w:val="CharStyle1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9">
    <w:name w:val="Основной текст (5)_"/>
    <w:basedOn w:val="DefaultParagraphFont"/>
    <w:link w:val="Style18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0">
    <w:name w:val="Основной текст (5) + Не курсив"/>
    <w:basedOn w:val="CharStyle19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1">
    <w:name w:val="Основной текст + Курсив"/>
    <w:basedOn w:val="CharStyle10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2">
    <w:name w:val="Основной текст (5) + Полужирный"/>
    <w:basedOn w:val="CharStyle1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3">
    <w:name w:val="Основной текст (5)"/>
    <w:basedOn w:val="CharStyle19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64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20" w:line="288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20" w:after="96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before="120" w:after="120" w:line="27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outlineLvl w:val="0"/>
      <w:spacing w:line="360" w:lineRule="exact"/>
    </w:pPr>
    <w:rPr>
      <w:b w:val="0"/>
      <w:bCs w:val="0"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paragraph" w:customStyle="1" w:styleId="Style14">
    <w:name w:val="Колонтитул"/>
    <w:basedOn w:val="Normal"/>
    <w:link w:val="CharStyle15"/>
    <w:pPr>
      <w:widowControl w:val="0"/>
      <w:shd w:val="clear" w:color="auto" w:fill="FFFFFF"/>
      <w:jc w:val="center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jc w:val="both"/>
      <w:spacing w:line="317" w:lineRule="exact"/>
      <w:ind w:firstLine="62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