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ne" w:vAnchor="text" w:hAnchor="margin" w:x="180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1pt;height:33pt;">
            <v:imagedata r:id="rId5" r:href="rId6"/>
          </v:shape>
        </w:pict>
      </w:r>
    </w:p>
    <w:p>
      <w:pPr>
        <w:pStyle w:val="Style6"/>
        <w:framePr w:h="662" w:wrap="none" w:vAnchor="text" w:hAnchor="margin" w:x="180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rStyle w:val="CharStyle8"/>
          <w:spacing w:val="0"/>
        </w:rPr>
        <w:t>V</w:t>
      </w:r>
    </w:p>
    <w:p>
      <w:pPr>
        <w:pStyle w:val="Style9"/>
        <w:framePr w:w="3032" w:h="245" w:wrap="none" w:vAnchor="text" w:hAnchor="margin" w:x="5227" w:y="86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ГБУЗ «ГП № 214 ДЗМ»</w:t>
      </w:r>
    </w:p>
    <w:p>
      <w:pPr>
        <w:pStyle w:val="Style11"/>
        <w:framePr w:w="3368" w:h="470" w:wrap="none" w:vAnchor="text" w:hAnchor="margin" w:x="422" w:y="85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3"/>
          <w:b/>
          <w:bCs/>
          <w:spacing w:val="0"/>
        </w:rPr>
        <w:t>ФЕДЕРАЛЬНАЯ АНТИМОНОПОЛЬНАЯ СЛУЖБА</w:t>
      </w:r>
    </w:p>
    <w:p>
      <w:pPr>
        <w:pStyle w:val="Style9"/>
        <w:framePr w:w="4491" w:h="250" w:wrap="none" w:vAnchor="text" w:hAnchor="margin" w:x="5227" w:y="150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ул. Елецкая, д. 14, г. Москва, 115583</w:t>
      </w:r>
    </w:p>
    <w:p>
      <w:pPr>
        <w:pStyle w:val="Style11"/>
        <w:framePr w:w="1558" w:h="635" w:wrap="none" w:vAnchor="text" w:hAnchor="margin" w:x="1334" w:y="1564"/>
        <w:widowControl w:val="0"/>
        <w:keepNext w:val="0"/>
        <w:keepLines w:val="0"/>
        <w:shd w:val="clear" w:color="auto" w:fill="auto"/>
        <w:bidi w:val="0"/>
        <w:jc w:val="left"/>
        <w:spacing w:before="0" w:after="260" w:line="170" w:lineRule="exact"/>
        <w:ind w:left="100" w:right="0" w:firstLine="0"/>
      </w:pPr>
      <w:r>
        <w:rPr>
          <w:rStyle w:val="CharStyle13"/>
          <w:b/>
          <w:bCs/>
          <w:spacing w:val="0"/>
        </w:rPr>
        <w:t>УПРАВЛЕ</w:t>
      </w:r>
      <w:r>
        <w:rPr>
          <w:rStyle w:val="CharStyle14"/>
          <w:b/>
          <w:bCs/>
          <w:spacing w:val="0"/>
        </w:rPr>
        <w:t>НИЕ</w:t>
      </w:r>
    </w:p>
    <w:p>
      <w:pPr>
        <w:pStyle w:val="Style11"/>
        <w:framePr w:w="1558" w:h="635" w:wrap="none" w:vAnchor="text" w:hAnchor="margin" w:x="1334" w:y="156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40" w:right="0" w:firstLine="0"/>
      </w:pPr>
      <w:r>
        <w:rPr>
          <w:rStyle w:val="CharStyle13"/>
          <w:b/>
          <w:bCs/>
          <w:spacing w:val="0"/>
        </w:rPr>
        <w:t>по г. Москве</w:t>
      </w:r>
    </w:p>
    <w:p>
      <w:pPr>
        <w:pStyle w:val="Style9"/>
        <w:framePr w:w="2173" w:h="250" w:wrap="none" w:vAnchor="text" w:hAnchor="margin" w:x="5236" w:y="21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ООО «Аэромед»</w:t>
      </w:r>
    </w:p>
    <w:p>
      <w:pPr>
        <w:pStyle w:val="Style15"/>
        <w:framePr w:w="3910" w:h="883" w:wrap="none" w:vAnchor="text" w:hAnchor="margin" w:x="153" w:y="239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  <w:spacing w:val="0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8"/>
          <w:spacing w:val="0"/>
        </w:rPr>
        <w:t>e-mail: to77@,fas.gov.ru</w:t>
      </w:r>
    </w:p>
    <w:p>
      <w:pPr>
        <w:pStyle w:val="Style9"/>
        <w:framePr w:w="4314" w:h="643" w:wrap="none" w:vAnchor="text" w:hAnchor="margin" w:x="5227" w:y="2730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00" w:firstLine="0"/>
      </w:pPr>
      <w:r>
        <w:rPr>
          <w:rStyle w:val="CharStyle10"/>
          <w:spacing w:val="0"/>
        </w:rPr>
        <w:t>ул. Московская, д. 21, пом. 002, г. Химки, Московская обл., 141402</w:t>
      </w:r>
    </w:p>
    <w:p>
      <w:pPr>
        <w:pStyle w:val="Style19"/>
        <w:framePr w:w="387" w:h="170" w:wrap="none" w:vAnchor="text" w:hAnchor="margin" w:x="1934" w:y="360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</w:rPr>
        <w:t>№</w:t>
      </w:r>
    </w:p>
    <w:p>
      <w:pPr>
        <w:pStyle w:val="Style9"/>
        <w:framePr w:w="1654" w:h="240" w:wrap="none" w:vAnchor="text" w:hAnchor="margin" w:x="5227" w:y="375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АО «ЕЭТП»</w:t>
      </w:r>
    </w:p>
    <w:p>
      <w:pPr>
        <w:pStyle w:val="Style22"/>
        <w:framePr w:w="632" w:h="161" w:wrap="none" w:vAnchor="text" w:hAnchor="margin" w:x="-39" w:y="403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4"/>
          <w:spacing w:val="20"/>
        </w:rPr>
        <w:t>На№</w:t>
      </w:r>
    </w:p>
    <w:p>
      <w:pPr>
        <w:pStyle w:val="Style25"/>
        <w:framePr w:w="378" w:h="110" w:wrap="none" w:vAnchor="text" w:hAnchor="margin" w:x="1948" w:y="410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7"/>
          <w:spacing w:val="0"/>
        </w:rPr>
        <w:t>ОТ</w:t>
      </w:r>
    </w:p>
    <w:p>
      <w:pPr>
        <w:pStyle w:val="Style9"/>
        <w:framePr w:w="4966" w:h="250" w:wrap="none" w:vAnchor="text" w:hAnchor="margin" w:x="5236" w:y="44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60-я Октября пр., д. 9, г. Москва, 117312</w:t>
      </w:r>
    </w:p>
    <w:p>
      <w:pPr>
        <w:pStyle w:val="Style28"/>
        <w:framePr w:w="469" w:h="420" w:wrap="none" w:vAnchor="text" w:hAnchor="margin" w:x="-53" w:y="4676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100" w:right="0" w:firstLine="0"/>
      </w:pPr>
      <w:r>
        <w:rPr>
          <w:rStyle w:val="CharStyle30"/>
          <w:b/>
          <w:bCs/>
        </w:rPr>
        <w:t>Г</w:t>
      </w:r>
    </w:p>
    <w:p>
      <w:pPr>
        <w:pStyle w:val="Style31"/>
        <w:framePr w:w="5955" w:h="969" w:wrap="none" w:vAnchor="text" w:hAnchor="margin" w:x="2150" w:y="576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32"/>
          <w:b/>
          <w:bCs/>
          <w:spacing w:val="0"/>
        </w:rPr>
        <w:t>РЕШЕНИЕ по делу № 077/06/106-11602/2022 о нарушении законодательства о контрактной системе</w:t>
      </w:r>
    </w:p>
    <w:p>
      <w:pPr>
        <w:pStyle w:val="Style31"/>
        <w:framePr w:w="1438" w:h="240" w:wrap="none" w:vAnchor="text" w:hAnchor="margin" w:x="-49" w:y="679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2"/>
          <w:b/>
          <w:bCs/>
          <w:spacing w:val="0"/>
        </w:rPr>
        <w:t>09.08.2022</w:t>
      </w:r>
    </w:p>
    <w:p>
      <w:pPr>
        <w:pStyle w:val="Style31"/>
        <w:framePr w:w="1400" w:h="240" w:wrap="none" w:vAnchor="text" w:hAnchor="margin" w:x="8908" w:y="68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2"/>
          <w:b/>
          <w:bCs/>
          <w:spacing w:val="0"/>
        </w:rPr>
        <w:t>г. Москва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680"/>
      </w:pPr>
      <w:r>
        <w:rPr>
          <w:rStyle w:val="CharStyle10"/>
          <w:spacing w:val="0"/>
        </w:rPr>
        <w:t>Членов Комиссии: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Ведущего специалиста-эксперта отдела обжалования государственных закупок А.З. Касимовой,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framePr w:w="10405" w:h="7728" w:wrap="none" w:vAnchor="text" w:hAnchor="margin" w:x="-73" w:y="7055"/>
        <w:tabs>
          <w:tab w:leader="none" w:pos="6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0"/>
      </w:pPr>
      <w:r>
        <w:rPr>
          <w:rStyle w:val="CharStyle10"/>
          <w:spacing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rStyle w:val="CharStyle10"/>
          <w:lang w:val="en-US" w:eastAsia="en-US" w:bidi="en-US"/>
          <w:spacing w:val="0"/>
        </w:rPr>
        <w:t>2019-nCoV,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680"/>
      </w:pPr>
      <w:r>
        <w:rPr>
          <w:rStyle w:val="CharStyle10"/>
          <w:spacing w:val="0"/>
        </w:rPr>
        <w:t>при участии представителей: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ГБУЗ «ГП № 2 ДЗМ»: Е.А. Удаловой (по дов. №б/н от 03.08.2022), а также при участии слушателя ГБУЗ «ГП № 2 ДЗМ»: Гвоздева Кирилла Викторовича,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в отсутствие представителей ООО «Аэромед», о времени и порядке заседания Комиссии Управления уведомлены надлежащим образом письмом Московского УФАС России от 02.08.2022 № ЕИ/40200/22,</w:t>
      </w:r>
    </w:p>
    <w:p>
      <w:pPr>
        <w:pStyle w:val="Style9"/>
        <w:framePr w:w="10405" w:h="7728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680"/>
      </w:pPr>
      <w:r>
        <w:rPr>
          <w:rStyle w:val="CharStyle10"/>
          <w:spacing w:val="0"/>
        </w:rPr>
        <w:t>рассмотрев жалобу ООО «Аэромед» (далее — Заявитель) на действия ГБУЗ «ГП № 214 ДЗМ» (далее — Заказчики) при проведении электронного</w:t>
      </w:r>
    </w:p>
    <w:p>
      <w:pPr>
        <w:pStyle w:val="Style33"/>
        <w:framePr w:w="1685" w:h="394" w:wrap="none" w:vAnchor="text" w:hAnchor="margin" w:x="375" w:y="1513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000676145911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04" w:left="825" w:right="825" w:bottom="662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tabs>
          <w:tab w:leader="none" w:pos="19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аукциона на право заключения государственного контракта на поставку медицинского оборудования (облучатели бактерицидные) в рамках программы «Новый московский стандарт поликлиник» для нужд ГБУЗ «ГП № 214 ДЗМ» (Закупка №</w:t>
        <w:tab/>
        <w:t>0373200589122000035) (далее — Аукцион), в соответствии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</w:p>
    <w:p>
      <w:pPr>
        <w:pStyle w:val="Style36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 и сведения, запрашиваемые письмом Московского УФАС России № ЕИ/40200/22 от 02.08.2022, Комиссия Управления установила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извещения о проведении электронного аукциона в нарушение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9"/>
        <w:numPr>
          <w:ilvl w:val="0"/>
          <w:numId w:val="1"/>
        </w:numPr>
        <w:tabs>
          <w:tab w:leader="none" w:pos="13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  <w:sectPr>
          <w:pgSz w:w="11909" w:h="16838"/>
          <w:pgMar w:top="1331" w:left="852" w:right="852" w:bottom="11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9"/>
        <w:numPr>
          <w:ilvl w:val="0"/>
          <w:numId w:val="5"/>
        </w:numPr>
        <w:tabs>
          <w:tab w:leader="none" w:pos="10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в технической части Заказчиком установлены неправомерные требования к товару, необходимому к поставке, в частности: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п.1.1 «Корпус должен быть изготовлен из листовой стали не менее, мм: 0,6»;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п.1.2 «Корпус должен быть изготовлен из листовой стали не более, мм: 0,8».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п.1.3 «Покрытие металлических деталей должно быть полимерно порошковое, устойчивое к дезинфицирую</w:t>
      </w:r>
      <w:r>
        <w:rPr>
          <w:rStyle w:val="CharStyle40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и моющим средствам: Соответствие».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данные требования ограничивают круг участников закупки, поскольку корпус рециркулятора может быть изготовлен из иного материала, помимо листовой стали, без потери эксплуатационных характеристик, в частности из алюминия, пластика, нержавеющего металла, так же, как и детали рециркулятора. Кроме того, в составе жалобы Заявитель указывает на то, что все металлические части корпуса изделия, с которыми возможен контакт человека, должны быть присоединены к заземляющему проводнику или должны иметь гарантированный электрический контакт с заземленной частью корпуса, что не требуется у моделей других производителей, использующих в качестве материала корпуса пластик. Такие рециркуляторы обеспечивают максимальный уровень электрической безопасности и не требуют заземляющего контакта в электропроводке. Таким образом, корпус, выполненный из пластика, не подвержен коррозии в результате регулярного воздействия дезинфицирующих средств и механических повреждений, то есть является улучшенным по характеристикам.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не согласившись</w:t>
      </w:r>
    </w:p>
    <w:p>
      <w:pPr>
        <w:pStyle w:val="Style9"/>
        <w:tabs>
          <w:tab w:leader="none" w:pos="36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доводами жалобы пояснил, что изготовление корпуса из стали имеет ряд преимуществ, таких как:</w:t>
        <w:tab/>
        <w:t>виброустойчивость, ударопрочность и сохранение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работоспособности после механических воздействия при транспортировке. Также представитель Заказчика пояснил, что все рециркуляторы оснащены предохранителем, защищающем рециркулятор от короткого замыкания и счетчиком наработки часов излучения. Выполнена двойная изоляция электропроводки, обеспечивающая дополнительную защиту от УФ-лучей. Закрытая камера рециркулятора предотвращает проникновение ультрафиолета и защищает от повреждения сетчатки глаз. Таким образом, за счет стали сохранена прочность и надежность изделия, а окрашенная поверхность оборудования защищает от коррозий, механических повреждений и дезинф</w:t>
      </w:r>
      <w:r>
        <w:rPr>
          <w:rStyle w:val="CharStyle40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рую</w:t>
      </w:r>
      <w:r>
        <w:rPr>
          <w:rStyle w:val="CharStyle40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средств.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предъявленные Заказчиком требования к необходимому к поставке товару в равной степени распространялись на всех участников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Необходимо отметить, что Заявитель, являясь коммерческой организацией, осуществляет на свой риск деятельность, направленную на систематическое получение прибыли, и отсутствие товара, выделенного в отдельный лот, технические характеристики которого соответствуют потребностям Заказчика, связано только с его предпринимательской деятельностью и от требований, содержащихся в документации о закупке, не зависит. Вышеуказанное само по себе не может свидетельствовать об ограничении количества участников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 о контрактной системе не содержит норм, ограничивающих право Заказчика включать в документацию требования к объекту закупки, которые являются для него значимыми, и, обязывающих Заказчика устанавливать в извещении о проведении электронного аукциона,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обратного Заявителем не представлено.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9"/>
        <w:numPr>
          <w:ilvl w:val="0"/>
          <w:numId w:val="5"/>
        </w:numPr>
        <w:tabs>
          <w:tab w:leader="none" w:pos="11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составе жалобы Заявитель указывает на то, что в технической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части Заказчиком установлены неправомерные требования к товару, необходимому к поставке, в частности:</w:t>
      </w:r>
    </w:p>
    <w:p>
      <w:pPr>
        <w:pStyle w:val="Style9"/>
        <w:tabs>
          <w:tab w:leader="none" w:pos="1398" w:val="center"/>
          <w:tab w:leader="none" w:pos="3774" w:val="right"/>
          <w:tab w:leader="none" w:pos="40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  <w:tab/>
        <w:t>п.2.9</w:t>
        <w:tab/>
        <w:t>«Рециркулятор</w:t>
        <w:tab/>
        <w:t>должен быть оборудован кнопкой-тумблером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«ВКЛ/ВЫКЛ» от сети питания со световой индикацией: Соответствие».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данное требования ограничивает круг участников закупки, поскольку индикация включения может быть выполнена не только кнопкой со световой индикацией, а например отдельным светодиодом и/или электронным табло, что не будет влиять на эксплуатацию рециркулятора.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-п.2.17 «Фильтрующий элемент должен иметь начальное сопротивление не менее, Па: 25»;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-п.2.18 «Поверхностная плотность фильтрующего элемента не более, г/кв. М: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100»;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-п.2.19 «Воздушная нагрузка фильтрующего элемента не менее, м3/ч*м2: 9000».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данные требования ограничивают круг участников закупки, поскольку совокупности установленных требований к товару соответствует товар единственного производителя.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п.3 «Габаритные размеры»: «Ширина корпуса не мене, мм: 250», «Ширина корпуса не более, мм: 310», «Глубина корпуса не менее, мм: 125», «Глубина корпуса не более, мм: 150», «Высота корпуса не менее, мм: 585», «Высота корпуса не более, мм: 620», «Вес изделия должен быть не более, кг: 7,5».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установление требований о наличии кнопки-тумблером «ВКЛ/ВЫКЛ» от сети питания со световой индикацией рециркулятора обусловлено тем, что данная кнопка предусматривает невозможность перегорания отдельного светового индикатора/светодиода/электронного табло, что является важным для Заказчика для обеспечения нужд учреждения.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представитель Заказчика пояснил, что требования к габаритным размерам установлены в соответствии с потребностью Заказчика и особенностями установки данного изделия в помещении учреждения.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также отмечает, что по обжалуемым характеристикам, таких, как производительность, начальное сопротивление, поверхностная плотность фильтрующего элемента, воздушная нагрузка фильтрующего элемента Заказчиком установлено диапазоны, включающие в себя показатели, как «не менее», «не более», вопреки утверждениям Заявителя.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заседание Комиссии Управления Заявитель участие не принял, а также в составе жалобы не представлено документов и сведений, свидетельствующих о невозможности формирования заявки в соответствии с требованиями извещения о проведении электронного аукциона,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 нарушившим требования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9"/>
        <w:numPr>
          <w:ilvl w:val="0"/>
          <w:numId w:val="5"/>
        </w:numPr>
        <w:tabs>
          <w:tab w:leader="none" w:pos="13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Заявитель обжалует действия Заказчика, выразившиеся в размещении извещения о проведении электронного аукциона в нарушение Закона о контрактной системе, а именно в технической части в п.2.3 «Бактерицидная лампа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Ledvance,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 шт.: Наличие» содержатся сведения о товаре без сопровождения словами «или эквивалент», что влечет за собой ограничение количества участников закупки и невозможности предложить к поставке товар, отвечающий потребности Заказчика с бактерицидными лампами иных производителей.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П.1 ч. 1 ст. 33 Закона о контрактной системе установлено,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>
        <w:rPr>
          <w:rStyle w:val="CharStyle41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 стве.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</w:t>
      </w:r>
      <w:r>
        <w:rPr>
          <w:rStyle w:val="CharStyle40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затруднился обосновать установление требований данным образом.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об обоснованности данного довода жалобы и о нарушении Заказчиком положений п.1</w:t>
      </w:r>
    </w:p>
    <w:p>
      <w:pPr>
        <w:pStyle w:val="Style9"/>
        <w:numPr>
          <w:ilvl w:val="0"/>
          <w:numId w:val="9"/>
        </w:numPr>
        <w:tabs>
          <w:tab w:leader="none" w:pos="36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ст.33 Закона о контрактной системе при формировании технической части, что содержит признаки состава административного правонарушения, предусмотренного ч.4.1</w:t>
        <w:tab/>
        <w:t>ст.7.30 Кодекса Российской Федерации об административных правонарушениях.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 Также в составе жалобы Заявитель указывает на то, что в технической части Заказчиком установлены неправомерные требования к товару, необходимому к поставке, в частности: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п.2.8 «Средний срок службы ламп не более, час: 9500»;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 2.15 «Производительность не более, м3/час: 60».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установление требований подобным образом ограничивают участников закупки, предлагающих товар с улучшенными характеристиками, с учетом наличия в техническом задании следующих характеристик: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п.2.7 «Средний срок службы ламп не менее, час: 8500»;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п.2.14 «Производительность не менее, м3/час: 55».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затруднился обосновать установление требований данным образом.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на заседании Комиссии Управления установлено, что согласно протоколу подведения итогов определения поставщика (подрядчика, исполнителя) от 03.08.2022 №ИЭА1 на участие в закупки подано 3 заявки, при этом только 1 заявка признана соответствующей, что свидетельствует об ограничении количества участников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об обоснованности данного довода жалобы и о нарушении Заказчиком положений п.1</w:t>
      </w:r>
    </w:p>
    <w:p>
      <w:pPr>
        <w:pStyle w:val="Style9"/>
        <w:numPr>
          <w:ilvl w:val="0"/>
          <w:numId w:val="11"/>
        </w:numPr>
        <w:tabs>
          <w:tab w:leader="none" w:pos="36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ст.33 Закона о контрактной системе при формировании технической части, что содержит признаки состава административного правонарушения, предусмотренного ч.4.1</w:t>
        <w:tab/>
        <w:t>ст.7.30 Кодекса Российской Федерации об административных правонарушениях.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  <w:r>
        <w:br w:type="page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308" w:line="26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«Аэромед» на действия ГБУЗ «ГП № 214 ДЗМ» обоснованной части установления неправомерных требований к товару по п.2.3, п.2.8, п. 2.15.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положений п.1 ч.1 ст.33, п.1 ч.1 ст.33 Закона о контрактной системе.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9"/>
        <w:framePr w:h="250" w:vSpace="710" w:wrap="around" w:vAnchor="text" w:hAnchor="margin" w:x="8222" w:y="6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Е.А. Миронова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9"/>
        <w:framePr w:h="240" w:wrap="around" w:vAnchor="text" w:hAnchor="margin" w:x="8351" w:y="6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А.З. Касимова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4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5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38"/>
        <w:framePr w:h="178" w:wrap="notBeside" w:vAnchor="text" w:hAnchor="margin" w:x="15" w:y="609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sectPr>
      <w:type w:val="continuous"/>
      <w:pgSz w:w="11909" w:h="16838"/>
      <w:pgMar w:top="1264" w:left="851" w:right="842" w:bottom="1134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3pt;margin-top:795.45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2022-45392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2.95pt;margin-top:812.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2022-45392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pt;margin-top:38.2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Колонтитул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Подпись к картинке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character" w:customStyle="1" w:styleId="CharStyle8">
    <w:name w:val="Подпись к картинке Exact"/>
    <w:basedOn w:val="CharStyle7"/>
    <w:rPr>
      <w:lang w:val="ru-RU" w:eastAsia="ru-RU" w:bidi="ru-RU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12">
    <w:name w:val="Основной текст (2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13">
    <w:name w:val="Основной текст (2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2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3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17">
    <w:name w:val="Основной текст (3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3) Exact"/>
    <w:basedOn w:val="CharStyle16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0">
    <w:name w:val="Основной текст (4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21">
    <w:name w:val="Основной текст (4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5) Exact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character" w:customStyle="1" w:styleId="CharStyle24">
    <w:name w:val="Основной текст (5)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6">
    <w:name w:val="Основной текст (6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character" w:customStyle="1" w:styleId="CharStyle27">
    <w:name w:val="Основной текст (6) Exact"/>
    <w:basedOn w:val="CharStyle26"/>
    <w:rPr>
      <w:lang w:val="ru-RU" w:eastAsia="ru-RU" w:bidi="ru-RU"/>
      <w:color w:val="000000"/>
      <w:position w:val="0"/>
    </w:rPr>
  </w:style>
  <w:style w:type="character" w:customStyle="1" w:styleId="CharStyle29">
    <w:name w:val="Основной текст (7) Exact"/>
    <w:basedOn w:val="DefaultParagraphFont"/>
    <w:link w:val="Style28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30">
    <w:name w:val="Основной текст (7) Exact"/>
    <w:basedOn w:val="CharStyle29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2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34">
    <w:name w:val="Штрих-код (2)_"/>
    <w:basedOn w:val="DefaultParagraphFont"/>
    <w:link w:val="Style3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5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7">
    <w:name w:val="Заголовок №1_"/>
    <w:basedOn w:val="DefaultParagraphFont"/>
    <w:link w:val="Style3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9">
    <w:name w:val="Основной текст (9) Exact"/>
    <w:basedOn w:val="DefaultParagraphFont"/>
    <w:link w:val="Style38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40">
    <w:name w:val="Основной текст"/>
    <w:basedOn w:val="CharStyle3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1">
    <w:name w:val="Основной текст + Курсив"/>
    <w:basedOn w:val="CharStyle3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2">
    <w:name w:val="Основной текст (8)_"/>
    <w:basedOn w:val="DefaultParagraphFont"/>
    <w:link w:val="Style3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paragraph" w:customStyle="1" w:styleId="Style9">
    <w:name w:val="Основной текст"/>
    <w:basedOn w:val="Normal"/>
    <w:link w:val="CharStyle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31">
    <w:name w:val="Основной текст (8)"/>
    <w:basedOn w:val="Normal"/>
    <w:link w:val="CharStyle42"/>
    <w:pPr>
      <w:widowControl w:val="0"/>
      <w:shd w:val="clear" w:color="auto" w:fill="FFFFFF"/>
      <w:jc w:val="center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3">
    <w:name w:val="Штрих-код (2)"/>
    <w:basedOn w:val="Normal"/>
    <w:link w:val="CharStyle3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6">
    <w:name w:val="Заголовок №1"/>
    <w:basedOn w:val="Normal"/>
    <w:link w:val="CharStyle37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8">
    <w:name w:val="Основной текст (9)"/>
    <w:basedOn w:val="Normal"/>
    <w:link w:val="CharStyle3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