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5165" w:wrap="around" w:hAnchor="margin" w:x="35" w:y="-983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07pt;height:258pt;">
            <v:imagedata r:id="rId5" r:href="rId6"/>
          </v:shape>
        </w:pic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«ГП № 2 ДЗМ»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Фруктовая, д. 12, г. Москва, 117556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«Аэромед»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11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Московская, д. 21, пом. 002, г. Химки, Московская обл., 141402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52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198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 117312</w:t>
      </w:r>
    </w:p>
    <w:p>
      <w:pPr>
        <w:pStyle w:val="Style13"/>
        <w:tabs>
          <w:tab w:leader="none" w:pos="9141" w:val="right"/>
          <w:tab w:leader="none" w:pos="1021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 w:firstLine="43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077/06/106-11601/2022 о нарушении законодательства о контрактной системе 09.08.2022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 — главного государственного инспектора отдела обжалования государственных закупок Е.А. Мироновой,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А.З. Касимовой,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5"/>
        <w:tabs>
          <w:tab w:leader="none" w:pos="5863" w:val="left"/>
          <w:tab w:leader="none" w:pos="9011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 проводилось дистанционно (посредством видеоконференцсвязи) в целях исполнения</w:t>
        <w:tab/>
        <w:t>Указа Мэра Москвы от</w:t>
        <w:tab/>
        <w:t>25.09.2020</w:t>
      </w:r>
    </w:p>
    <w:p>
      <w:pPr>
        <w:pStyle w:val="Style5"/>
        <w:tabs>
          <w:tab w:leader="none" w:pos="5790" w:val="right"/>
          <w:tab w:leader="none" w:pos="5995" w:val="left"/>
          <w:tab w:leader="none" w:pos="1021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</w:t>
        <w:tab/>
        <w:t>92-УМ «О внесении изменений в</w:t>
        <w:tab/>
        <w:t>правовые акты города</w:t>
        <w:tab/>
        <w:t>Москвы»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представителей:</w:t>
      </w:r>
    </w:p>
    <w:p>
      <w:pPr>
        <w:pStyle w:val="Style5"/>
        <w:tabs>
          <w:tab w:leader="none" w:pos="586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«ГП № 2 ДЗМ»: Е.А. Удаловой (по</w:t>
        <w:tab/>
        <w:t>дов. №б/н от 03.08.2022),</w:t>
      </w:r>
    </w:p>
    <w:p>
      <w:pPr>
        <w:pStyle w:val="Style5"/>
        <w:tabs>
          <w:tab w:leader="none" w:pos="5863" w:val="left"/>
          <w:tab w:leader="none" w:pos="1021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 также при участии слушателя ГБУЗ</w:t>
        <w:tab/>
        <w:t>«ГП № 2 ДЗМ»: Гвоздева</w:t>
        <w:tab/>
        <w:t>Кирилла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Викторовича,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представителей ООО «Аэромед», о времени и порядке заседания Комиссии Управления уведомлены надлежащим образом письмом Московского УФАС России от 02.08.2022 № ЕИ/40199/22,</w:t>
      </w:r>
    </w:p>
    <w:p>
      <w:pPr>
        <w:pStyle w:val="Style3"/>
        <w:framePr w:w="1685" w:h="394" w:wrap="around" w:vAnchor="text" w:hAnchor="margin" w:x="385" w:y="80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000123348730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16" w:line="322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«Аэромед» (далее — Заявитель) на действия ГБУЗ «ГП № 2 ДЗМ» (далее — Заказчики) при проведении электронного аукциона</w:t>
      </w:r>
    </w:p>
    <w:p>
      <w:pPr>
        <w:framePr w:h="461" w:wrap="notBeside" w:vAnchor="text" w:hAnchor="text" w:y="1"/>
        <w:widowControl w:val="0"/>
        <w:jc w:val="left"/>
        <w:rPr>
          <w:sz w:val="2"/>
          <w:szCs w:val="2"/>
        </w:rPr>
      </w:pPr>
      <w:r>
        <w:pict>
          <v:shape id="_x0000_s1027" type="#_x0000_t75" style="width:126pt;height:23pt;">
            <v:imagedata r:id="rId7" r:href="rId8"/>
          </v:shape>
        </w:pict>
      </w:r>
    </w:p>
    <w:p>
      <w:pPr>
        <w:widowControl w:val="0"/>
        <w:rPr>
          <w:sz w:val="2"/>
          <w:szCs w:val="2"/>
        </w:rPr>
      </w:pPr>
      <w:r>
        <w:br w:type="page"/>
      </w:r>
    </w:p>
    <w:p>
      <w:pPr>
        <w:widowControl w:val="0"/>
      </w:pPr>
      <w:r>
        <w:br w:type="page"/>
      </w:r>
    </w:p>
    <w:p>
      <w:pPr>
        <w:pStyle w:val="Style5"/>
        <w:tabs>
          <w:tab w:leader="none" w:pos="730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право заключения государственного контракта на поставку облучателей - рециркуляторов для нужд ГБУЗ «ГП №</w:t>
        <w:tab/>
        <w:t>2 ДЗМ» (Закупка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6" w:line="31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 0373200586422000139) (далее — Аукцион), в соответствии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в соответствии с Административным регламентом, утвержденным Приказом ФАС России от 19.11.2014 № 727/14,</w:t>
      </w:r>
    </w:p>
    <w:p>
      <w:pPr>
        <w:pStyle w:val="Style15"/>
        <w:widowControl w:val="0"/>
        <w:keepNext/>
        <w:keepLines/>
        <w:shd w:val="clear" w:color="auto" w:fill="auto"/>
        <w:bidi w:val="0"/>
        <w:spacing w:before="0" w:after="303" w:line="26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указанного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представленные документы и сведения, запрашиваемые письмом Московского УФАС России № ЕИ/40199/22 от 02.08.2022, Комиссия Управления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Заказчика, выразившиеся в утверждении извещения о проведении электронного аукциона в нарушение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5"/>
        <w:numPr>
          <w:ilvl w:val="0"/>
          <w:numId w:val="1"/>
        </w:numPr>
        <w:tabs>
          <w:tab w:leader="none" w:pos="128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ч.2 ст.33 Закона о контрактной системе документация о закупке в соответствии с требованиями, указанными в части 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5"/>
        <w:numPr>
          <w:ilvl w:val="0"/>
          <w:numId w:val="5"/>
        </w:numPr>
        <w:tabs>
          <w:tab w:leader="none" w:pos="103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жалобы, в технической части Заказчиком установлены неправомерные требования к товару, необходимому к поставке, в частности: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п.1.1 «Корпус должен быть изготовлен из листовой стали не менее, мм: 0,6»;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п.1.2 «Корпус должен быть изготовлен из листовой стали не более, мм: 0,8».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п.1.3 «Покрытие металлических деталей должно быть полимерно порошковое, устойчивое к дезинфицирую</w:t>
      </w:r>
      <w:r>
        <w:rPr>
          <w:rStyle w:val="CharStyle17"/>
        </w:rPr>
        <w:t>щи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 и моющим средствам: Соответствие».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п.1.6 «Все ребра металлического корпуса должны быть закруглены, радиус закругления не менее, мм: 2».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по мнению Заявителя, данные требования ограничивают круг участников закупки, поскольку корпус рециркулятора может быть изготовлен из иного материала, помимо листовой стали, без потери эксплуатационных характеристик, в частности из алюминия, пластика, нержавеющего металла, так же, как и детали рециркулятора. Кроме того, в составе жалобы Заявитель указывает на то, что все металлические части корпуса изделия, с которыми возможен контакт человека, должны быть присоединены к заземляющему проводнику или должны иметь гарантированный электрический контакт с заземленной частью корпуса, что не требуется у моделей других производителей, использующих в качестве материала корпуса пластик. Такие рециркуляторы обеспечивают максимальный уровень электрической безопасности и не требуют заземляющего контакта в электропроводке. Таким образом, корпус, выполненный из пластика, не подвержен коррозии в результате регулярного воздействия дезинфицирующих средств и механических повреждений, то есть является улучшенным по характеристикам.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5"/>
        <w:tabs>
          <w:tab w:leader="none" w:pos="363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не согласившись с доводами жалобы пояснил, что изготовление корпуса из стали имеет ряд преимуществ, таких как:</w:t>
        <w:tab/>
        <w:t>виброустойчивость, ударопрочность и сохранение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работоспособности после механических воздействия при транспортировке. Также представитель Заказчика пояснил, что все рециркуляторы оснащены предохранителем, защищающем рециркулятор от короткого замыкания и счетчиком наработки часов излучения. Выполнена двойная изоляция электропроводки, обеспечивающая дополнительную защиту от УФ-лучей. Закрытая камера рециркулятора предотвращает проникновение ультрафиолета и защищает от повреждения сетчатки глаз. Таким образом, за счет стали сохранена прочность и надежность изделия, а окрашенная поверхность оборудования защищает от коррозий, механических повреждений и дезинф</w:t>
      </w:r>
      <w:r>
        <w:rPr>
          <w:rStyle w:val="CharStyle17"/>
        </w:rPr>
        <w:t>ици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рую</w:t>
      </w:r>
      <w:r>
        <w:rPr>
          <w:rStyle w:val="CharStyle17"/>
        </w:rPr>
        <w:t>щи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х средств.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предъявленные Заказчиком требования к необходимому к поставке товару в равной степени распространялись на всех участников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Необходимо отметить, что Заявитель, являясь коммерческой организацией, осуществляет на свой риск деятельность, направленную на систематическое получение прибыли, и отсутствие товара, выделенного в отдельный лот, технические характеристики которого соответствуют потребностям Заказчика, связано только с его предпринимательской деятельностью и от требований, содержащихся в документации о закупке, не зависит. Вышеуказанное само по себе не может свидетельствовать об ограничении количества участников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 о контрактной системе не содержит норм, ограничивающих право Заказчика включать в документацию требования к объекту закупки, которые являются для него значимыми, и, обязывающих Заказчика устанавливать в извещении о проведении электронного аукциона,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при наличии у Заказчика потребности в получении определенных товаров, вести речь о необоснованном ограничении им количества потенциальных участников размещения закупки не приходится.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Доказательств обратного Заявителем не представлено.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выводу, что доводы жалобы не нашли своего подтверждения и являются необоснованными.</w:t>
      </w:r>
    </w:p>
    <w:p>
      <w:pPr>
        <w:pStyle w:val="Style5"/>
        <w:numPr>
          <w:ilvl w:val="0"/>
          <w:numId w:val="5"/>
        </w:numPr>
        <w:tabs>
          <w:tab w:leader="none" w:pos="120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в составе жалобы Заявитель указывает на то, что в технической части Заказчиком установлены неправомерные требования к товару, необходимому к поставке, в частности:</w:t>
      </w:r>
    </w:p>
    <w:p>
      <w:pPr>
        <w:pStyle w:val="Style5"/>
        <w:tabs>
          <w:tab w:leader="none" w:pos="116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-</w:t>
        <w:tab/>
        <w:t>п.2.9 «Рециркулятор должен быть оборудован кнопкой-тумблером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«ВКЛ/ВЫКЛ» от сети питания со световой индикацией: Соответствие».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по мнению Заявителя, данное требования ограничивает круг участников закупки, поскольку индикация включения может быть выполнена не только кнопкой со световой индикацией, а например отдельным светодиодом и/или электронным табло, что никаким образом не влияет на эксплуатацию рециркулятора.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-п.2.17 «Фильтрующий элемент должен иметь начальное сопротивление не менее, Па: 25»;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-п.2.18 «Поверхностная плотность фильтрующего элемента не более, г/кв. М: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100»;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-п.2.19 «Воздушная нагрузка фильтрующего элемента не менее, м3/ч*м2: 9000».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по мнению Заявителя, данные требования ограничивают круг участников закупки, поскольку совокупности установленных требований к товару соответствует товар единственного производителя.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п.3 «Габаритные размеры»: «Ширина корпуса не мене, мм: 250», «Ширина корпуса не более, мм: 310», «Глубина корпуса не менее, мм: 125», «Глубина корпуса не более, мм: 150», «Высота корпуса не менее, мм: 585», «Высота корпуса не более, мм: 620», «Вес изделия должен быть не более, кг: 7,5».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пояснил, что установление требований о наличии кнопки-тумблером «ВКЛ/ВЫКЛ» от сети питания со световой индикацией рециркулятора обусловлено тем, что данная кнопка предусматривает невозможность перегорания отдельного светового индикатора/светодиода/электронного табло, что является важным для Заказчика для обеспечения нужд учреждения.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Одновременно с этим представитель Заказчика пояснил, что требования к габаритным размерам установлены в соответствии с потребностью Заказчика и особенностями установки данного изделия в помещении учреждения.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также отмечает, что по обжалуемым характеристикам, таких, как производительность, начальное сопротивление, поверхностная плотность фильтрующего элемента, воздушная нагрузка фильтрующего элемента Заказчиком установлено диапазоны, включающие в себя показатели, как «не менее», «не более», вопреки утверждениям Заявителя.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при этом в заседание Комиссии Управления Заявитель участие не принял, а также в составе жалобы не представлено документов и сведений, свидетельствующих о невозможности формирования заявки в соответствии с требованиями извещения о проведении электронного аукциона, а также не представлено документов и доказательств, свидетельствующих об ограничении количества участников закупки и о нарушении Заказчиком норм законодательства об осуществлении закупок, ввиду чего у Комиссии Управления отсутствуют правовые основания для признания Заказчика нарушившим требования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выводу, что доводы жалобы не нашли своего подтверждения и являются необоснованными.</w:t>
      </w:r>
    </w:p>
    <w:p>
      <w:pPr>
        <w:pStyle w:val="Style5"/>
        <w:numPr>
          <w:ilvl w:val="0"/>
          <w:numId w:val="5"/>
        </w:numPr>
        <w:tabs>
          <w:tab w:leader="none" w:pos="135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Также Заявитель обжалует действия Заказчика, выразившиеся в размещении извещения о проведении электронного аукциона в нарушение Закона о контрактной системе, а именно в технической части в п.2.3 «Бактерицидная лампа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Ledvance,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 шт.: Наличие» содержатся сведения о товаре без сопровождения словами «или эквивалент», что влечет за собой ограничение количества участников закупки и невозможности предложить к поставке товар, отвечающий потребности Заказчика с бактерицидными лампами иных производителей.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П.1 ч. 1 ст. 33 Закона о контрактной системе установлено,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r>
        <w:rPr>
          <w:rStyle w:val="CharStyle18"/>
        </w:rPr>
        <w:t>Допускается использование в описании объекта закупки указания на товарный знак при условии сопровождения такого указания словами «или эквивалент»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Комиссия Управления также отмечает, что в случае, если при закупке товаров среди требуемых к поставке позиций присутствует хотя бы один товар, требования к характеристикам которого установлены таким образом, что совокупности таких требований отвечает только товар единственного производителя, то положения документации о такой закупке имеют признаки ограничения количества участников закупки, так как закупить и поставить уникальный товар имеет возможность только ограниченный круг лиц, имеющий с производителем такого товара партнерские отношения и/или иные договоры о сотрудниче стве.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при наличии у Заказчика обоснованной потребности в поставке именно таких товаров, характеристики которых указаны в документации, Заказчику необходимо удостовериться в несовместимости оборудования установленного на объекте Заказчика с оборудованием иных производителей, а также определить каким образом требуемый товар наилучшим образом удовлетворяет потребность Заказчика, а также в чем такой товар превосходит по характеристикам аналогичные товары, представленные на рынке и в связи с чем в работе учреждения не могут быть использованы эквивалентные товары.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Заказчику требуется обладать документальным подтверждением такой несовместимости или обоснованием потребности, но не руководствоваться предположениями.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в случае невозможности участников закупки закупить и поставить требуемые Заказчику уникальные позиции наряду с иными товарами, указанная закупка будет проведена только для тех лиц, имею</w:t>
      </w:r>
      <w:r>
        <w:rPr>
          <w:rStyle w:val="CharStyle17"/>
        </w:rPr>
        <w:t>щи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х договорные отношения с определенным производителем товара, что непосредственно является ограничением круга потенциальных участников закупки, что напрямую запрещается нормами ст.33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затруднился обосновать установление требований данным образом.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 об обоснованности данного довода жалобы и о нарушении Заказчиком положений п.1</w:t>
      </w:r>
    </w:p>
    <w:p>
      <w:pPr>
        <w:pStyle w:val="Style5"/>
        <w:numPr>
          <w:ilvl w:val="0"/>
          <w:numId w:val="9"/>
        </w:numPr>
        <w:tabs>
          <w:tab w:leader="none" w:pos="367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ст.33 Закона о контрактной системе при формировании технической части, что содержит признаки состава административного правонарушения, предусмотренного ч.4.1</w:t>
        <w:tab/>
        <w:t>ст.7.30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 Также в составе жалобы Заявитель указывает на то, что в технической части Заказчиком установлены неправомерные требования к товару, необходимому к поставке, в частности: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п.2.8 «Средний срок службы ламп не более, час: 9500»;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п. 2.15 «Производительность не более, м3/час: 60».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по мнению Заявителя, установление требований подобным образом ограничивают участников закупки, предлагающих товар с улучшенными характеристиками, с учетом наличия в техническом задании следующих характеристик: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п.2.7 «Средний срок службы ламп не менее, час: 8500»;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п.2.14 «Производительность не менее, м3/час: 55».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затруднился обосновать установление требований данным образом.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на заседании Комиссии Управления установлено, что согласно протоколу подведения итогов определения поставщика (подрядчика, исполнителя) от 05.08.2022 №ИЭА1 на участие в закупки подано 4 заявки, при этом только 1 заявка признана соответствующей, что свидетельствует об ограничении количества участников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 об обоснованности данного довода жалобы и о нарушении Заказчиком положений п.1</w:t>
      </w:r>
    </w:p>
    <w:p>
      <w:pPr>
        <w:pStyle w:val="Style5"/>
        <w:numPr>
          <w:ilvl w:val="0"/>
          <w:numId w:val="11"/>
        </w:numPr>
        <w:tabs>
          <w:tab w:leader="none" w:pos="367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ст.33 Закона о контрактной системе при формировании технической части, что содержит признаки состава административного правонарушения, предусмотренного ч.4.1</w:t>
        <w:tab/>
        <w:t>ст.7.30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Законом о контрактной системе, Комиссия Управления</w:t>
      </w:r>
      <w:r>
        <w:br w:type="page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308" w:line="260" w:lineRule="exact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жалобу ООО «Аэромед» на действия ГБУЗ «ГП № 2 ДЗМ» обоснованной части установления неправомерных требований к товару по п.2.3, п.2.8, п. 2.15.</w:t>
      </w:r>
    </w:p>
    <w:p>
      <w:pPr>
        <w:pStyle w:val="Style5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Заказчика нарушение положений п.1 ч.1 ст.33, п.1 ч.1 ст.33 Закона о контрактной системе.</w:t>
      </w:r>
    </w:p>
    <w:p>
      <w:pPr>
        <w:pStyle w:val="Style5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5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96" w:line="317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</w:t>
      </w:r>
    </w:p>
    <w:p>
      <w:pPr>
        <w:pStyle w:val="Style5"/>
        <w:framePr w:h="250" w:vSpace="710" w:wrap="around" w:vAnchor="text" w:hAnchor="margin" w:x="8236" w:y="64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6"/>
          <w:spacing w:val="0"/>
        </w:rPr>
        <w:t>Е.А. Миронова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гл. 24 АПК РФ.</w:t>
      </w:r>
    </w:p>
    <w:p>
      <w:pPr>
        <w:pStyle w:val="Style5"/>
        <w:framePr w:h="240" w:wrap="around" w:vAnchor="text" w:hAnchor="margin" w:x="8366" w:y="64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6"/>
          <w:spacing w:val="0"/>
        </w:rPr>
        <w:t>А.З. Касимова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7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7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pStyle w:val="Style7"/>
        <w:framePr w:h="178" w:wrap="notBeside" w:vAnchor="text" w:hAnchor="margin" w:x="30" w:y="4489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Касимова А.З.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А.А. Матюшенко</w:t>
      </w:r>
    </w:p>
    <w:sectPr>
      <w:headerReference w:type="default" r:id="rId9"/>
      <w:footerReference w:type="default" r:id="rId10"/>
      <w:footerReference w:type="first" r:id="rId11"/>
      <w:titlePg/>
      <w:footnotePr>
        <w:pos w:val="pageBottom"/>
        <w:numFmt w:val="decimal"/>
        <w:numRestart w:val="continuous"/>
      </w:footnotePr>
      <w:type w:val="continuous"/>
      <w:pgSz w:w="11909" w:h="16838"/>
      <w:pgMar w:top="1379" w:left="845" w:right="821" w:bottom="736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43.95pt;margin-top:807.35pt;width:57.1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0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12"/>
                    <w:b/>
                    <w:bCs/>
                  </w:rPr>
                  <w:t>2022-45214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0" type="#_x0000_t202" style="position:absolute;margin-left:44.4pt;margin-top:811.55pt;width:57.1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0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12"/>
                    <w:b/>
                    <w:bCs/>
                  </w:rPr>
                  <w:t>2022-45214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95.95pt;margin-top:21.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0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2"/>
                      <w:b/>
                      <w:bCs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Ч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2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"/>
    </w:rPr>
  </w:style>
  <w:style w:type="character" w:customStyle="1" w:styleId="CharStyle8">
    <w:name w:val="Основной текст (3) Exact"/>
    <w:basedOn w:val="DefaultParagraphFont"/>
    <w:link w:val="Style7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9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Колонтитул_"/>
    <w:basedOn w:val="DefaultParagraphFont"/>
    <w:link w:val="Style10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2">
    <w:name w:val="Колонтитул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2)_"/>
    <w:basedOn w:val="DefaultParagraphFont"/>
    <w:link w:val="Style13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6">
    <w:name w:val="Заголовок №1_"/>
    <w:basedOn w:val="DefaultParagraphFont"/>
    <w:link w:val="Style1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7">
    <w:name w:val="Основной текст"/>
    <w:basedOn w:val="CharStyle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8">
    <w:name w:val="Основной текст + Курсив"/>
    <w:basedOn w:val="CharStyle9"/>
    <w:rPr>
      <w:lang w:val="ru-RU" w:eastAsia="ru-RU" w:bidi="ru-RU"/>
      <w:i/>
      <w:iCs/>
      <w:w w:val="100"/>
      <w:spacing w:val="0"/>
      <w:color w:val="000000"/>
      <w:position w:val="0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9"/>
    <w:pPr>
      <w:widowControl w:val="0"/>
      <w:shd w:val="clear" w:color="auto" w:fill="FFFFFF"/>
      <w:jc w:val="right"/>
      <w:spacing w:line="64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0">
    <w:name w:val="Колонтитул"/>
    <w:basedOn w:val="Normal"/>
    <w:link w:val="CharStyle11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3">
    <w:name w:val="Основной текст (2)"/>
    <w:basedOn w:val="Normal"/>
    <w:link w:val="CharStyle14"/>
    <w:pPr>
      <w:widowControl w:val="0"/>
      <w:shd w:val="clear" w:color="auto" w:fill="FFFFFF"/>
      <w:spacing w:before="132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jc w:val="center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footer" Target="footer2.xml"/></Relationships>
</file>