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32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6pt;height:52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08" w:after="41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3" w:line="312" w:lineRule="exact"/>
        <w:ind w:left="0" w:right="0" w:firstLine="0"/>
      </w:pPr>
      <w:r>
        <w:rPr>
          <w:rStyle w:val="CharStyle5"/>
          <w:b/>
          <w:bCs/>
        </w:rPr>
        <w:t>УПРАВЛЕНИЕ Федеральной антимонопольной службы по Архангельской области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21"/>
        <w:ind w:left="0" w:right="0" w:firstLine="0"/>
      </w:pPr>
      <w:r>
        <w:rPr>
          <w:rStyle w:val="CharStyle8"/>
        </w:rPr>
        <w:t xml:space="preserve">ул. К. Либкнехта, 2, г. Архангельск, 163000 Тел.: (8182) 20-73-21, факс: (8182) 21-54-45 </w:t>
      </w:r>
      <w:r>
        <w:rPr>
          <w:rStyle w:val="CharStyle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8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to29@fas.gov.ru</w:t>
      </w:r>
      <w:r>
        <w:fldChar w:fldCharType="end"/>
      </w:r>
    </w:p>
    <w:p>
      <w:pPr>
        <w:pStyle w:val="Style9"/>
        <w:tabs>
          <w:tab w:leader="underscore" w:pos="2490" w:val="right"/>
          <w:tab w:leader="none" w:pos="2722" w:val="left"/>
        </w:tabs>
        <w:widowControl w:val="0"/>
        <w:keepNext/>
        <w:keepLines/>
        <w:shd w:val="clear" w:color="auto" w:fill="auto"/>
        <w:bidi w:val="0"/>
        <w:spacing w:before="0" w:after="105" w:line="320" w:lineRule="exact"/>
        <w:ind w:left="20" w:right="0" w:firstLine="0"/>
      </w:pPr>
      <w:bookmarkStart w:id="0" w:name="bookmark0"/>
      <w:r>
        <w:rPr>
          <w:rStyle w:val="CharStyle11"/>
        </w:rPr>
        <w:tab/>
        <w:t xml:space="preserve"> </w:t>
      </w:r>
      <w:r>
        <w:rPr>
          <w:rStyle w:val="CharStyle12"/>
        </w:rPr>
        <w:t>№</w:t>
        <w:tab/>
      </w:r>
      <w:r>
        <w:rPr>
          <w:rStyle w:val="CharStyle13"/>
        </w:rPr>
        <w:t>04</w:t>
      </w:r>
      <w:r>
        <w:rPr>
          <w:rStyle w:val="CharStyle14"/>
        </w:rPr>
        <w:t>dP</w:t>
      </w:r>
      <w:bookmarkEnd w:id="0"/>
    </w:p>
    <w:p>
      <w:pPr>
        <w:pStyle w:val="Style15"/>
        <w:tabs>
          <w:tab w:leader="none" w:pos="2490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rStyle w:val="CharStyle17"/>
          <w:b/>
          <w:bCs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2" w:line="26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198фз-22 029/06/33-705/2022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rStyle w:val="CharStyle18"/>
          <w:b/>
          <w:bCs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ФБУ «Администрация Северо</w:t>
        <w:softHyphen/>
        <w:t>двинского бассейна внутренних водных путей»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165300, Архангельская область,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Котлас, ул. К. Маркса, д.9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"mailto:okobup@mail.ru"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okobup@mail.ru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100" w:firstLine="0"/>
      </w:pPr>
      <w:r>
        <w:rPr>
          <w:rStyle w:val="CharStyle18"/>
          <w:b/>
          <w:bCs/>
        </w:rPr>
        <w:t>Оператор электронной площадки: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АО «Единая электронная торговая площадка»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117312, г. Москва, ул. Кожевническая,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 14, стр. 5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547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ko@roseltorg.ru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21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Акционерное общество «Волжский дизель имени Маминых»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413850, Саратовская область, г. Балаково, ул. Коммунистическая,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0" w:right="0" w:firstLine="0"/>
      </w:pPr>
      <w:r>
        <w:rPr>
          <w:rStyle w:val="CharStyle22"/>
        </w:rPr>
        <w:t xml:space="preserve">Д.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124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0" w:right="0" w:firstLine="0"/>
        <w:sectPr>
          <w:headerReference w:type="even" r:id="rId7"/>
          <w:headerReference w:type="default" r:id="rId8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496" w:left="1010" w:right="1452" w:bottom="525" w:header="0" w:footer="3" w:gutter="0"/>
          <w:rtlGutter w:val="0"/>
          <w:cols w:num="2" w:space="720" w:equalWidth="0">
            <w:col w:w="4800" w:space="701"/>
            <w:col w:w="3946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"mailto:fax@vdm-plant.ru"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fax@vdm-plant.ru</w:t>
      </w:r>
      <w:r>
        <w:fldChar w:fldCharType="end"/>
      </w: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8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3"/>
        <w:tabs>
          <w:tab w:leader="none" w:pos="8294" w:val="right"/>
          <w:tab w:leader="none" w:pos="977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7" w:line="23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09 августа 2022 года</w:t>
        <w:tab/>
        <w:t>г.</w:t>
        <w:tab/>
        <w:t>Архангельск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Руководствуясь Письмом ФАС России от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 ФАС России) в составе: </w:t>
      </w:r>
      <w:r>
        <w:rPr>
          <w:rStyle w:val="CharStyle21"/>
        </w:rPr>
        <w:t>Председатель комиссии: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center"/>
        <w:spacing w:before="0" w:after="0" w:line="269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 Заместитель руководителя Управления - начальник отдела контроля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24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920" w:right="0" w:firstLine="0"/>
      </w:pPr>
      <w:r>
        <w:rPr>
          <w:rStyle w:val="CharStyle18"/>
          <w:b/>
          <w:bCs/>
        </w:rPr>
        <w:t>Члены комиссии: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Вознесенская Е1.В. Главный специалист-эксперт отдела контроля закупок;</w:t>
      </w:r>
    </w:p>
    <w:p>
      <w:pPr>
        <w:pStyle w:val="Style19"/>
        <w:tabs>
          <w:tab w:leader="none" w:pos="24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Романова Д.С.</w:t>
        <w:tab/>
        <w:t>Ведущий специалист-эксперт отдела контроля закупок,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пункта 1 части 15 статьи 99, статьи 106 Федерального закона от 05 апреля 2013 года № 44-ФЗ «О контрактной системе </w:t>
      </w:r>
      <w:r>
        <w:rPr>
          <w:rStyle w:val="CharStyle25"/>
        </w:rPr>
        <w:t xml:space="preserve">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</w:t>
      </w:r>
      <w:r>
        <w:rPr>
          <w:rStyle w:val="CharStyle21"/>
        </w:rPr>
        <w:t>в присутствии представителей от:</w:t>
      </w:r>
    </w:p>
    <w:p>
      <w:pPr>
        <w:pStyle w:val="Style23"/>
        <w:framePr w:h="245" w:wrap="around" w:vAnchor="text" w:hAnchor="margin" w:x="8913" w:y="144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50"/>
          <w:color w:val="000000"/>
          <w:position w:val="0"/>
        </w:rPr>
        <w:t>039745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103" w:line="269" w:lineRule="exact"/>
        <w:ind w:left="920" w:right="800" w:firstLine="0"/>
      </w:pPr>
      <w:r>
        <w:rPr>
          <w:rStyle w:val="CharStyle25"/>
        </w:rPr>
        <w:t xml:space="preserve">Заявителя: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Цыбиной Е.Г., Латухина А.Н. (доверенность от 08.08.2022 № 17); </w:t>
      </w:r>
      <w:r>
        <w:rPr>
          <w:rStyle w:val="CharStyle25"/>
        </w:rPr>
        <w:t xml:space="preserve">Заказчика: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Белых М.О. (доверенность от 23.12.2021 № 05-08/303);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0" w:right="0" w:firstLine="0"/>
      </w:pPr>
      <w:r>
        <w:rPr>
          <w:rStyle w:val="CharStyle28"/>
        </w:rPr>
        <w:t>ООО «Центр документации»; 163000, г. Архангельск, пл. Ленина, д.4, оф.2; ИНН 2901204236; зак. 19, тир. 5000, 27.08.2021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4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 августа 2022 года в Архангельское УФАС России - уполномоченный федеральный орган исполнительной власти, осуществляющий контроль в сфере закупок, поступила жалоба Акционерного общества «Волжский дизель имени Маминых» (далее - Заявитель) на действия заказчика - ФБУ «Администрация Северо-Двинского бассейна внутренних водных путей» (далее - Заказчик), при проведении электронного аукциона на право заключения контракта на поставку сменно-запасных частей: дизель-редукторный агрегат (извещение №03241 ООО 10422000098).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720"/>
      </w:pPr>
      <w:r>
        <w:rPr>
          <w:rStyle w:val="CharStyle18"/>
          <w:b/>
          <w:bCs/>
        </w:rPr>
        <w:t>Содержание жалобы: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4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Обжалуются действия Заказчика в связи с размещением извещения не соответствующего требованиям ФЗ «О контрактной системе».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36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05.08.2022 № 05-04/337.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26.07.2022 Заказчиком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№0324100010422000098 о проведении электронного аукциона на право заключения контракта на поставку сменно-запасных частей: дизель-редукторный агрегат (далее - Извещение).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- 10 710 000,00 рублей.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12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АО «Единая электронная торговая площадка».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spacing w:before="0" w:after="24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в своей жалобе указывает, что Заказчиком в Извещении не установлена возможность поставки участниками процедуры аналогичной продукции (эквивалента) по предмету закупки, тем самым Заказчик ограничил конкуренцию. Кроме того, Заявитель считает, что закупаемый дизель-редукторный агрегат не является запасной частью земснаряда.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1 части 2 статьи 42 ФЗ «О контрактной системе» установлено, что извещение об осуществлении закупки должно содержать описание объекта закупки, сформированное в соответствии с положениями статьи 33 указанного Федерального закона.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силу пункта 1 части 1 статьи 33 ФЗ «О контрактной системе»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</w:t>
      </w:r>
      <w:r>
        <w:rPr>
          <w:rStyle w:val="CharStyle34"/>
        </w:rPr>
        <w:t>необходимости обеспечения взаимодействия таких товаров с товарами, используемыми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4"/>
        </w:rPr>
        <w:t>заказчиком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  <w:sectPr>
          <w:type w:val="continuous"/>
          <w:pgSz w:w="11909" w:h="16838"/>
          <w:pgMar w:top="1029" w:left="936" w:right="1176" w:bottom="77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при осуществлении закупки Заказчик вправе не только выбрать ее предмет, но и обязан определить его и описать в соответствии с нормами ФЗ «О контрактной системе» именно таким образом, чтобы участник закупки смог подать заявку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торгах, соответствующую объективным и обоснованным требованиям Заказчика. При этом заказчик вправе в необходимой степени детализировать требования к товару, так как ФЗ «О контрактной системе» не содержит норм, ограничивающих право заказчика включать в документацию об аукционе требования к объекту закупки, которые являются для него значимыми, а также норм, обязывающих заказчика устанавливать в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116" w:line="269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2 статьи 33 ФЗ «О контрактной системе» документация о закупке в соответствии с требованиями, указанными в части 1 данной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65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Файл «Описание объекта закупки», размещенный в составе Извещения и являющийся неотъемлемой его частью, содержит таблицы, в которых установлены требования к товарам, в том числе:</w:t>
      </w:r>
    </w:p>
    <w:p>
      <w:pPr>
        <w:pStyle w:val="Style35"/>
        <w:framePr w:w="9355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Технические характеристики судового дизель-редукторного агрегата</w:t>
      </w:r>
    </w:p>
    <w:tbl>
      <w:tblPr>
        <w:tblOverlap w:val="never"/>
        <w:tblLayout w:type="fixed"/>
        <w:jc w:val="center"/>
      </w:tblPr>
      <w:tblGrid>
        <w:gridCol w:w="4531"/>
        <w:gridCol w:w="4824"/>
      </w:tblGrid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Двигатель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  <w:lang w:val="en-US" w:eastAsia="en-US" w:bidi="en-US"/>
              </w:rPr>
              <w:t>8190ZLCZ-2R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Номинальная мощность дизеля, кВт (л.с.)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500 (680)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Частота вращения коленвала, об/мин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1000</w:t>
            </w:r>
          </w:p>
        </w:tc>
      </w:tr>
      <w:tr>
        <w:trPr>
          <w:trHeight w:val="26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Число и расположение цилиндров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8-ми цилиндровый, рядный</w:t>
            </w:r>
          </w:p>
        </w:tc>
      </w:tr>
      <w:tr>
        <w:trPr>
          <w:trHeight w:val="75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Тип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37"/>
              </w:rPr>
              <w:t>Четырехтактный, с турбонадувом, с промежуточным охлаждением воздуха, с прямым впрыском топлива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Диаметр поршня (мм)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190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Ход поршня (мм)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210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Система управления и АПС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«Иртыш 7СУ6-15»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Топливо ГОСТ305-82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Л-0,2 Л-0,5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Масло ГОСТ 12337-84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М-14Г2</w:t>
            </w:r>
          </w:p>
        </w:tc>
      </w:tr>
      <w:tr>
        <w:trPr>
          <w:trHeight w:val="25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Пуск дизеля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электростартерный</w:t>
            </w:r>
          </w:p>
        </w:tc>
      </w:tr>
      <w:tr>
        <w:trPr>
          <w:trHeight w:val="26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Охлаждение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водо-водяное, двухконтурное</w:t>
            </w:r>
          </w:p>
        </w:tc>
      </w:tr>
      <w:tr>
        <w:trPr>
          <w:trHeight w:val="26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Марка реверс-редуктора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НС-1000</w:t>
            </w:r>
          </w:p>
        </w:tc>
      </w:tr>
      <w:tr>
        <w:trPr>
          <w:trHeight w:val="51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140" w:right="0" w:firstLine="0"/>
            </w:pPr>
            <w:r>
              <w:rPr>
                <w:rStyle w:val="CharStyle37"/>
              </w:rPr>
              <w:t>Передаточное число РРП переднего и заднего хода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2,64</w:t>
            </w:r>
          </w:p>
        </w:tc>
      </w:tr>
      <w:tr>
        <w:trPr>
          <w:trHeight w:val="50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5" w:lineRule="exact"/>
              <w:ind w:left="0" w:right="0" w:firstLine="0"/>
            </w:pPr>
            <w:r>
              <w:rPr>
                <w:rStyle w:val="CharStyle37"/>
              </w:rPr>
              <w:t>Сцепление ведущего и ведомого валов реверс-редуктора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0" w:lineRule="exact"/>
              <w:ind w:left="0" w:right="0" w:firstLine="0"/>
            </w:pPr>
            <w:r>
              <w:rPr>
                <w:rStyle w:val="CharStyle37"/>
              </w:rPr>
              <w:t>Фрикционная многодисковая муфта сцепления с гидравлическим управлением</w:t>
            </w:r>
          </w:p>
        </w:tc>
      </w:tr>
      <w:tr>
        <w:trPr>
          <w:trHeight w:val="50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45" w:lineRule="exact"/>
              <w:ind w:left="0" w:right="0" w:firstLine="0"/>
            </w:pPr>
            <w:r>
              <w:rPr>
                <w:rStyle w:val="CharStyle37"/>
              </w:rPr>
              <w:t>Тип сцепления ведущего вала реверс- редуктора с коленвалом двигателя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Высокоэластичная соединительная муфта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Удельный расход топлива, г/кВт-ч, не более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204</w:t>
            </w:r>
          </w:p>
        </w:tc>
      </w:tr>
      <w:tr>
        <w:trPr>
          <w:trHeight w:val="27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Удельный расход масла, г/кВт-ч, не более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1,2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Срок до выемки поршней, час., не менее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20 000</w:t>
            </w:r>
          </w:p>
        </w:tc>
      </w:tr>
      <w:tr>
        <w:trPr>
          <w:trHeight w:val="51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5" w:lineRule="exact"/>
              <w:ind w:left="140" w:right="0" w:firstLine="0"/>
            </w:pPr>
            <w:r>
              <w:rPr>
                <w:rStyle w:val="CharStyle37"/>
              </w:rPr>
              <w:t>Срок до капитального ремонта, час., не менее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60 000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Срок до утилизации, час, не менее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80 000</w:t>
            </w:r>
          </w:p>
        </w:tc>
      </w:tr>
      <w:tr>
        <w:trPr>
          <w:trHeight w:val="51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140" w:right="0" w:firstLine="0"/>
            </w:pPr>
            <w:r>
              <w:rPr>
                <w:rStyle w:val="CharStyle37"/>
              </w:rPr>
              <w:t xml:space="preserve">Габаритные размеры двигателя с РРП </w:t>
            </w:r>
            <w:r>
              <w:rPr>
                <w:rStyle w:val="CharStyle37"/>
                <w:lang w:val="en-US" w:eastAsia="en-US" w:bidi="en-US"/>
              </w:rPr>
              <w:t xml:space="preserve">LxBxH, </w:t>
            </w:r>
            <w:r>
              <w:rPr>
                <w:rStyle w:val="CharStyle37"/>
              </w:rPr>
              <w:t>мм, не более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  <w:lang w:val="en-US" w:eastAsia="en-US" w:bidi="en-US"/>
              </w:rPr>
              <w:t>4000x1220x2000</w:t>
            </w:r>
          </w:p>
        </w:tc>
      </w:tr>
      <w:tr>
        <w:trPr>
          <w:trHeight w:val="274" w:hRule="exact"/>
        </w:trPr>
        <w:tc>
          <w:tcPr>
            <w:shd w:val="clear" w:color="auto" w:fill="FFFFFF"/>
            <w:tcBorders>
              <w:top w:val="single" w:sz="4"/>
              <w:bottom w:val="single" w:sz="4"/>
            </w:tcBorders>
            <w:vAlign w:val="top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40" w:right="0" w:firstLine="0"/>
            </w:pPr>
            <w:r>
              <w:rPr>
                <w:rStyle w:val="CharStyle37"/>
              </w:rPr>
              <w:t>Вес нетто, кг, не более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9"/>
              <w:framePr w:w="93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9000</w:t>
            </w:r>
          </w:p>
        </w:tc>
      </w:tr>
    </w:tbl>
    <w:p>
      <w:pPr>
        <w:widowControl w:val="0"/>
        <w:spacing w:line="120" w:lineRule="exact"/>
        <w:rPr>
          <w:sz w:val="2"/>
          <w:szCs w:val="2"/>
        </w:rPr>
      </w:pPr>
    </w:p>
    <w:p>
      <w:pPr>
        <w:pStyle w:val="Style35"/>
        <w:framePr w:w="9326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Расширенный комплект оригинальных запасных частей</w:t>
      </w:r>
    </w:p>
    <w:tbl>
      <w:tblPr>
        <w:tblOverlap w:val="never"/>
        <w:tblLayout w:type="fixed"/>
        <w:jc w:val="center"/>
      </w:tblPr>
      <w:tblGrid>
        <w:gridCol w:w="7445"/>
        <w:gridCol w:w="1882"/>
      </w:tblGrid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2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38"/>
              </w:rPr>
              <w:t>Наименование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2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10" w:lineRule="exact"/>
              <w:ind w:left="0" w:right="0" w:firstLine="0"/>
            </w:pPr>
            <w:r>
              <w:rPr>
                <w:rStyle w:val="CharStyle38"/>
              </w:rPr>
              <w:t>Кол-во</w:t>
            </w:r>
          </w:p>
        </w:tc>
      </w:tr>
      <w:tr>
        <w:trPr>
          <w:trHeight w:val="24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2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20" w:right="0" w:firstLine="0"/>
            </w:pPr>
            <w:r>
              <w:rPr>
                <w:rStyle w:val="CharStyle37"/>
              </w:rPr>
              <w:t xml:space="preserve">ТНВД </w:t>
            </w:r>
            <w:r>
              <w:rPr>
                <w:rStyle w:val="CharStyle37"/>
                <w:lang w:val="en-US" w:eastAsia="en-US" w:bidi="en-US"/>
              </w:rPr>
              <w:t xml:space="preserve">JDEC </w:t>
            </w:r>
            <w:r>
              <w:rPr>
                <w:rStyle w:val="CharStyle37"/>
              </w:rPr>
              <w:t xml:space="preserve">(в сборе) </w:t>
            </w:r>
            <w:r>
              <w:rPr>
                <w:rStyle w:val="CharStyle37"/>
                <w:lang w:val="en-US" w:eastAsia="en-US" w:bidi="en-US"/>
              </w:rPr>
              <w:t xml:space="preserve">228LC.12BP.00 </w:t>
            </w:r>
            <w:r>
              <w:rPr>
                <w:rStyle w:val="CharStyle37"/>
              </w:rPr>
              <w:t>(для 8</w:t>
            </w:r>
            <w:r>
              <w:rPr>
                <w:rStyle w:val="CharStyle37"/>
                <w:lang w:val="en-US" w:eastAsia="en-US" w:bidi="en-US"/>
              </w:rPr>
              <w:t xml:space="preserve">190-R </w:t>
            </w:r>
            <w:r>
              <w:rPr>
                <w:rStyle w:val="CharStyle37"/>
              </w:rPr>
              <w:t>лев.борт/прав.вращ.)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2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1</w:t>
            </w:r>
          </w:p>
        </w:tc>
      </w:tr>
      <w:tr>
        <w:trPr>
          <w:trHeight w:val="26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2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20" w:right="0" w:firstLine="0"/>
            </w:pPr>
            <w:r>
              <w:rPr>
                <w:rStyle w:val="CharStyle37"/>
              </w:rPr>
              <w:t xml:space="preserve">Водяной насос </w:t>
            </w:r>
            <w:r>
              <w:rPr>
                <w:rStyle w:val="CharStyle37"/>
                <w:lang w:val="en-US" w:eastAsia="en-US" w:bidi="en-US"/>
              </w:rPr>
              <w:t>206LR.22.00 (8190-R)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2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1</w:t>
            </w:r>
          </w:p>
        </w:tc>
      </w:tr>
      <w:tr>
        <w:trPr>
          <w:trHeight w:val="25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2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20" w:right="0" w:firstLine="0"/>
            </w:pPr>
            <w:r>
              <w:rPr>
                <w:rStyle w:val="CharStyle37"/>
              </w:rPr>
              <w:t>Элемент топливного фильтра 1</w:t>
            </w:r>
            <w:r>
              <w:rPr>
                <w:rStyle w:val="CharStyle37"/>
                <w:lang w:val="en-US" w:eastAsia="en-US" w:bidi="en-US"/>
              </w:rPr>
              <w:t>2V.1</w:t>
            </w:r>
            <w:r>
              <w:rPr>
                <w:rStyle w:val="CharStyle37"/>
              </w:rPr>
              <w:t>0.30А (бумажный)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2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10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2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20" w:right="0" w:firstLine="0"/>
            </w:pPr>
            <w:r>
              <w:rPr>
                <w:rStyle w:val="CharStyle37"/>
              </w:rPr>
              <w:t xml:space="preserve">Насос забортной воды </w:t>
            </w:r>
            <w:r>
              <w:rPr>
                <w:rStyle w:val="CharStyle37"/>
                <w:lang w:val="en-US" w:eastAsia="en-US" w:bidi="en-US"/>
              </w:rPr>
              <w:t xml:space="preserve">208L.22H1.00 </w:t>
            </w:r>
            <w:r>
              <w:rPr>
                <w:rStyle w:val="CharStyle37"/>
              </w:rPr>
              <w:t>(для 8190, 1000 об.)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2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1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2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20" w:right="0" w:firstLine="0"/>
            </w:pPr>
            <w:r>
              <w:rPr>
                <w:rStyle w:val="CharStyle37"/>
              </w:rPr>
              <w:t xml:space="preserve">Форсунка </w:t>
            </w:r>
            <w:r>
              <w:rPr>
                <w:rStyle w:val="CharStyle37"/>
                <w:lang w:val="en-US" w:eastAsia="en-US" w:bidi="en-US"/>
              </w:rPr>
              <w:t>12VB.16.00E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2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2</w:t>
            </w:r>
          </w:p>
        </w:tc>
      </w:tr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9"/>
              <w:framePr w:w="932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120" w:right="0" w:firstLine="0"/>
            </w:pPr>
            <w:r>
              <w:rPr>
                <w:rStyle w:val="CharStyle37"/>
              </w:rPr>
              <w:t xml:space="preserve">Распылитель </w:t>
            </w:r>
            <w:r>
              <w:rPr>
                <w:rStyle w:val="CharStyle37"/>
                <w:lang w:val="en-US" w:eastAsia="en-US" w:bidi="en-US"/>
              </w:rPr>
              <w:t>12V.16.20E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9"/>
              <w:framePr w:w="9326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8</w:t>
            </w:r>
          </w:p>
        </w:tc>
      </w:tr>
    </w:tbl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998" w:left="1142" w:right="1113" w:bottom="701" w:header="0" w:footer="3" w:gutter="0"/>
          <w:rtlGutter w:val="0"/>
          <w:cols w:space="720"/>
          <w:noEndnote/>
          <w:docGrid w:linePitch="360"/>
        </w:sectPr>
      </w:pPr>
    </w:p>
    <w:tbl>
      <w:tblPr>
        <w:tblOverlap w:val="never"/>
        <w:tblLayout w:type="fixed"/>
        <w:jc w:val="center"/>
      </w:tblPr>
      <w:tblGrid>
        <w:gridCol w:w="7454"/>
        <w:gridCol w:w="1853"/>
      </w:tblGrid>
      <w:tr>
        <w:trPr>
          <w:trHeight w:val="30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Ремень В(Б)-2000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3</w:t>
            </w:r>
          </w:p>
        </w:tc>
      </w:tr>
      <w:tr>
        <w:trPr>
          <w:trHeight w:val="51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50" w:lineRule="exact"/>
              <w:ind w:left="0" w:right="0" w:firstLine="0"/>
            </w:pPr>
            <w:r>
              <w:rPr>
                <w:rStyle w:val="CharStyle37"/>
              </w:rPr>
              <w:t xml:space="preserve">Мембранно-торцевое уплотнение насоса внутреннего контура </w:t>
            </w:r>
            <w:r>
              <w:rPr>
                <w:rStyle w:val="CharStyle37"/>
                <w:lang w:val="en-US" w:eastAsia="en-US" w:bidi="en-US"/>
              </w:rPr>
              <w:t xml:space="preserve">HU5-25 </w:t>
            </w:r>
            <w:r>
              <w:rPr>
                <w:rStyle w:val="CharStyle37"/>
              </w:rPr>
              <w:t>для ГД выпуска после 07.2008г.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1</w:t>
            </w:r>
          </w:p>
        </w:tc>
      </w:tr>
      <w:tr>
        <w:trPr>
          <w:trHeight w:val="26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 xml:space="preserve">Терморегулятор </w:t>
            </w:r>
            <w:r>
              <w:rPr>
                <w:rStyle w:val="CharStyle37"/>
                <w:lang w:val="en-US" w:eastAsia="en-US" w:bidi="en-US"/>
              </w:rPr>
              <w:t>208L.25.00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1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 xml:space="preserve">Электростартер </w:t>
            </w:r>
            <w:r>
              <w:rPr>
                <w:rStyle w:val="CharStyle37"/>
                <w:lang w:val="en-US" w:eastAsia="en-US" w:bidi="en-US"/>
              </w:rPr>
              <w:t xml:space="preserve">228L.46D.10 </w:t>
            </w:r>
            <w:r>
              <w:rPr>
                <w:rStyle w:val="CharStyle37"/>
              </w:rPr>
              <w:t>двухпроводный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1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 xml:space="preserve">Элемент масляного фильтра </w:t>
            </w:r>
            <w:r>
              <w:rPr>
                <w:rStyle w:val="CharStyle37"/>
                <w:lang w:val="en-US" w:eastAsia="en-US" w:bidi="en-US"/>
              </w:rPr>
              <w:t xml:space="preserve">SBL50F </w:t>
            </w:r>
            <w:r>
              <w:rPr>
                <w:rStyle w:val="CharStyle37"/>
              </w:rPr>
              <w:t>(диск сетчатый)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20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 xml:space="preserve">Прокладка под головку цилиндра (медь) </w:t>
            </w:r>
            <w:r>
              <w:rPr>
                <w:rStyle w:val="CharStyle37"/>
                <w:lang w:val="en-US" w:eastAsia="en-US" w:bidi="en-US"/>
              </w:rPr>
              <w:t>206L.01.31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8</w:t>
            </w:r>
          </w:p>
        </w:tc>
      </w:tr>
      <w:tr>
        <w:trPr>
          <w:trHeight w:val="25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 xml:space="preserve">Прокладка под крышку 1 (резиновая) </w:t>
            </w:r>
            <w:r>
              <w:rPr>
                <w:rStyle w:val="CharStyle37"/>
                <w:lang w:val="en-US" w:eastAsia="en-US" w:bidi="en-US"/>
              </w:rPr>
              <w:t>12VB.03.il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8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 xml:space="preserve">Прокладка под крышку II </w:t>
            </w:r>
            <w:r>
              <w:rPr>
                <w:rStyle w:val="CharStyle37"/>
                <w:lang w:val="en-US" w:eastAsia="en-US" w:bidi="en-US"/>
              </w:rPr>
              <w:t>12VB.03.12A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8</w:t>
            </w:r>
          </w:p>
        </w:tc>
      </w:tr>
      <w:tr>
        <w:trPr>
          <w:trHeight w:val="26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 xml:space="preserve">Прокладка выпускного коллектора </w:t>
            </w:r>
            <w:r>
              <w:rPr>
                <w:rStyle w:val="CharStyle37"/>
                <w:lang w:val="en-US" w:eastAsia="en-US" w:bidi="en-US"/>
              </w:rPr>
              <w:t>Z12VB.09.04A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8</w:t>
            </w:r>
          </w:p>
        </w:tc>
      </w:tr>
      <w:tr>
        <w:trPr>
          <w:trHeight w:val="26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 xml:space="preserve">Прокладка (паронит) </w:t>
            </w:r>
            <w:r>
              <w:rPr>
                <w:rStyle w:val="CharStyle37"/>
                <w:lang w:val="en-US" w:eastAsia="en-US" w:bidi="en-US"/>
              </w:rPr>
              <w:t>12VB.08.10.14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8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 xml:space="preserve">Компенсатор сильфонный (двойной) </w:t>
            </w:r>
            <w:r>
              <w:rPr>
                <w:rStyle w:val="CharStyle37"/>
                <w:lang w:val="en-US" w:eastAsia="en-US" w:bidi="en-US"/>
              </w:rPr>
              <w:t>208L.09.60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2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 xml:space="preserve">Компенсатор сильфонный (одинарный) </w:t>
            </w:r>
            <w:r>
              <w:rPr>
                <w:rStyle w:val="CharStyle37"/>
                <w:lang w:val="en-US" w:eastAsia="en-US" w:bidi="en-US"/>
              </w:rPr>
              <w:t>208L.09.80A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2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 xml:space="preserve">Прокладка выхлопного коллектора (8190) </w:t>
            </w:r>
            <w:r>
              <w:rPr>
                <w:rStyle w:val="CharStyle37"/>
                <w:lang w:val="en-US" w:eastAsia="en-US" w:bidi="en-US"/>
              </w:rPr>
              <w:t>224L.09.02A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4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 xml:space="preserve">Прокладка выхлопного коллектора (8190) </w:t>
            </w:r>
            <w:r>
              <w:rPr>
                <w:rStyle w:val="CharStyle37"/>
                <w:lang w:val="en-US" w:eastAsia="en-US" w:bidi="en-US"/>
              </w:rPr>
              <w:t>208L.09.03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4</w:t>
            </w:r>
          </w:p>
        </w:tc>
      </w:tr>
      <w:tr>
        <w:trPr>
          <w:trHeight w:val="274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Комплект топливных трубок высокого давления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9"/>
              <w:framePr w:w="93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0" w:lineRule="exact"/>
              <w:ind w:left="0" w:right="0" w:firstLine="0"/>
            </w:pPr>
            <w:r>
              <w:rPr>
                <w:rStyle w:val="CharStyle37"/>
              </w:rPr>
              <w:t>1</w:t>
            </w:r>
          </w:p>
        </w:tc>
      </w:tr>
    </w:tbl>
    <w:p>
      <w:pPr>
        <w:pStyle w:val="Style35"/>
        <w:framePr w:w="9307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 в заседании Комиссии Архангельского УФАС России пояснил следующее.</w:t>
      </w:r>
    </w:p>
    <w:p>
      <w:pPr>
        <w:widowControl w:val="0"/>
        <w:rPr>
          <w:sz w:val="2"/>
          <w:szCs w:val="2"/>
        </w:rPr>
      </w:pP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описании объекта закупки указаны основные характеристики объекта закупки, а именно сменно-запасные части к несамоходному земснаряду проекта №23-110: дизель- редукторный агрегат (ДРА) на базе судового двигателя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8190ZLCZ- 2R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реверс-редуктора НС-1000 мощностью 480 кВт с системой управления 1-й степени автоматизации в количестве 1 единицы и расширенный комплект оригинальных запасных частей к ДРА.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закупается конкретный дизель-редукторный агрегат как сменнозапасная часть конкретного земснаряда проекта №23-110.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Земснаряд «Северо-Двинский-726» принадлежит на праве оперативного управления ФБУ «Администрация «Севводпуть», идентификационный номер судна С-03-1186, проект №23-110, главные машины: 8ЧНСП19/21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(8190ZLCZ-2R),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1-500 кВт, что подтверждается свидетельством о праве собственности на судно СД №002168 от 07.06.2018.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Данный дизель-редукторный агрегат уже установлен на земснаряде «Северо- Двинский-726», что подтверждается актом внеочередного освидетельствования судна от 08.10.2018 №12.18.007.084173, выданным Северным филиалом Российского Речного Регистра и последующими документами.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Положению по организации агрегатного ремонта судов, являющимся приложением Правил ремонта судов Министерства речного флота РСФСР, утвержденных и введенных в действие с 01.01.1990 приказом Министерства речного флота РСФСР от 12.05.1989 №61 агрегатный ремонт судна производится двумя методами: агрегатным и агрегатно-узловым, который распространяется на все виды ремонта судов и техническое обслуживание. Агрегатный метод состоит в том, что требующие капитального ремонта судовые технические средства (СТС), конструкции снимают с судов комплектно без разборки и заменяют аналогичными новыми или заранее отремонтированными из специально созданного обменного фонда. При агрегатно-узловом методе заменяются агрегатно из обменного фонда отдельные узлы СТС.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Также, представитель Заказчика дал пояснения, что дизель-редукторный агрегат и расширенный комплект оригинальных запасных частей к нему закупаются для дальнейших ремонтов на земснаряде «Северо-Двинский-726». Замена существующего дизель- редукторного агрегата и его составных частей при его поломке на идентичный агрегат поможет сэкономить временные и финансовые ресурсы Заказчика при его выходе из строя во время сезонных работ (ремонт в этом случае необходимо будет провести в кратчайшие сроки).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для обеспечения совместимости и взаимодействия закупаемых сменно-запасных частей и деталей с уже имеющимися у Заказчика оборудованием и машинами заказчик вправе устанавливать конкретные технические характеристики закупаемых товаров. При этом Заказчик вправе использовать в описании объекта закупки указание на товарный знак при условии закупок запасных частей и расходных материалов к машинам и оборудованию, которые уже используются заказчиком.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Проанализировав материалы дела, заслушав доводы представителей Заявителя и Заказчика, Комиссия Архангельского УФАС России отмечает следующее.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ФЗ «О контрактной системе» не предусмотрено ограничений по включению в извещение требований к товару, являющихся значимыми для заказчика, которые отвечают его потребностям и необходимы для выполнения соответствующих государственных или муниципальных функций; не предусмотрена и обязанность заказчика обосновывать свои потребности при установлении требований к поставляемому товару. Более того, указание в извещении конкретных характеристик поставляемого товара предусмотрено законодательством о закупках. Ограничивает усмотрение заказчика только требование о недопустимости ограничения конкуренции.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Государственные органы, органы управления государственными внебюджетными фондами, муниципальные органы, казенные учреждения, иные юридические лица в случаях, установленных ФЗ «О контрактной системе»,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(часть 1 статьи 12 ФЗ «О контрактной системе»).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 (п.1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(утв. Президиумом Верховного Суда РФ 28.06.2017)).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ограничении заказчиком числа участников торгов.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установил требования к оборудованию, исходя из своей потребности, из назначения такого оборудования, а также с учетом наличия требований технических регламентов, принятых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не усматривает, что осуществление закупки производится среди производителей товара. В аукционе может участвовать неограниченное количество поставщиков. Участником закупки может выступать любое лицо, готовое поставить товар, отвечающий требованиям Извещения и требованиям Заказчика. Объективные причины невозможности приобретения товара с требуемыми Заказчику характеристиками Заявителем не представлены.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подтверждается материалами дела, начальная (максимальная) цена контракта определена на основании 3-х коммерческих предложений.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40" w:line="26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участником закупки могло выступить любое лицо, в том числе и не являющееся производителем требуемого к поставке товара, готовое поставить товар, отвечающий требованиям Извещения и удовлетворяющий потребности Заказчика.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учетом вышеизложенного, Комиссия Архангельского УФАС России приходит к выводу о том, что Заказчик при формировании при описания объекта закупки руководствуется объективными потребностями.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при описании объекта закупки не нарушены положения ФЗ «О контрактной системе».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Заявителя не нашел своего подтверждения.</w:t>
      </w:r>
      <w:r>
        <w:br w:type="page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155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79" w:line="230" w:lineRule="exact"/>
        <w:ind w:left="45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19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Признать жалобу Акционерного общества «Волжский дизель имени Маминых» необоснованной.</w:t>
      </w:r>
    </w:p>
    <w:p>
      <w:pPr>
        <w:pStyle w:val="Style40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  <w:sectPr>
          <w:headerReference w:type="even" r:id="rId9"/>
          <w:headerReference w:type="default" r:id="rId10"/>
          <w:titlePg/>
          <w:pgSz w:w="11909" w:h="16838"/>
          <w:pgMar w:top="998" w:left="1142" w:right="1113" w:bottom="701" w:header="0" w:footer="3" w:gutter="0"/>
          <w:rtlGutter w:val="0"/>
          <w:cols w:space="720"/>
          <w:noEndnote/>
          <w:docGrid w:linePitch="360"/>
        </w:sectPr>
      </w:pPr>
      <w:r>
        <w:rPr>
          <w:rStyle w:val="CharStyle42"/>
          <w:i/>
          <w:iCs/>
        </w:rPr>
        <w:t>Примечание.</w:t>
      </w:r>
      <w:r>
        <w:rPr>
          <w:rStyle w:val="CharStyle43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 трех месяцев со дня его принятия.</w:t>
      </w:r>
    </w:p>
    <w:p>
      <w:pPr>
        <w:framePr w:w="4104" w:h="1752" w:wrap="none" w:vAnchor="text" w:hAnchor="margin" w:x="4069"/>
        <w:widowControl w:val="0"/>
        <w:rPr>
          <w:sz w:val="2"/>
          <w:szCs w:val="2"/>
        </w:rPr>
      </w:pPr>
      <w:r>
        <w:pict>
          <v:shape id="_x0000_s1031" type="#_x0000_t75" style="width:205pt;height:88pt;">
            <v:imagedata r:id="rId11" r:href="rId12"/>
          </v:shape>
        </w:pict>
      </w:r>
    </w:p>
    <w:p>
      <w:pPr>
        <w:pStyle w:val="Style44"/>
        <w:framePr w:w="1186" w:h="220" w:wrap="none" w:vAnchor="text" w:hAnchor="margin" w:x="5807" w:y="191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46"/>
          <w:i/>
          <w:iCs/>
          <w:spacing w:val="-30"/>
        </w:rPr>
        <w:t>OuuXLuXU-</w:t>
      </w:r>
    </w:p>
    <w:p>
      <w:pPr>
        <w:pStyle w:val="Style3"/>
        <w:framePr w:w="1942" w:h="220" w:wrap="none" w:vAnchor="text" w:hAnchor="margin" w:x="7792" w:y="76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7"/>
          <w:b/>
          <w:bCs/>
          <w:spacing w:val="0"/>
        </w:rPr>
        <w:t>О.С. Малышева</w:t>
      </w:r>
    </w:p>
    <w:p>
      <w:pPr>
        <w:pStyle w:val="Style3"/>
        <w:framePr w:w="2178" w:h="220" w:wrap="none" w:vAnchor="text" w:hAnchor="margin" w:x="7557" w:y="131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7"/>
          <w:b/>
          <w:bCs/>
          <w:spacing w:val="0"/>
        </w:rPr>
        <w:t>Н.В. Вознесенская</w:t>
      </w:r>
    </w:p>
    <w:p>
      <w:pPr>
        <w:framePr w:h="701" w:wrap="none" w:vAnchor="text" w:hAnchor="margin" w:x="6906" w:y="1599"/>
        <w:widowControl w:val="0"/>
        <w:jc w:val="center"/>
        <w:rPr>
          <w:sz w:val="2"/>
          <w:szCs w:val="2"/>
        </w:rPr>
      </w:pPr>
      <w:r>
        <w:pict>
          <v:shape id="_x0000_s1032" type="#_x0000_t75" style="width:23pt;height:35pt;">
            <v:imagedata r:id="rId13" r:href="rId14"/>
          </v:shape>
        </w:pict>
      </w:r>
    </w:p>
    <w:p>
      <w:pPr>
        <w:pStyle w:val="Style3"/>
        <w:framePr w:w="1750" w:h="224" w:wrap="none" w:vAnchor="text" w:hAnchor="margin" w:x="7989" w:y="186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7"/>
          <w:b/>
          <w:bCs/>
          <w:spacing w:val="0"/>
        </w:rPr>
        <w:t>Д.С. Романова</w:t>
      </w:r>
    </w:p>
    <w:p>
      <w:pPr>
        <w:pStyle w:val="Style3"/>
        <w:framePr w:w="2835" w:h="229" w:wrap="none" w:vAnchor="text" w:hAnchor="margin" w:x="-13" w:y="77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7"/>
          <w:b/>
          <w:bCs/>
          <w:spacing w:val="0"/>
        </w:rPr>
        <w:t>Председатель Комиссии</w:t>
      </w:r>
    </w:p>
    <w:p>
      <w:pPr>
        <w:pStyle w:val="Style3"/>
        <w:framePr w:w="2086" w:h="220" w:wrap="none" w:vAnchor="text" w:hAnchor="margin" w:x="-17" w:y="132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7"/>
          <w:b/>
          <w:bCs/>
          <w:spacing w:val="0"/>
        </w:rPr>
        <w:t>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91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9" w:h="16838"/>
      <w:pgMar w:top="683" w:left="1113" w:right="1113" w:bottom="68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13.7pt;margin-top:38.05pt;width:17.3pt;height:8.6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9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1"/>
                  </w:rPr>
                  <w:t>§</w:t>
                </w:r>
                <w:fldSimple w:instr=" PAGE \* MERGEFORMAT ">
                  <w:r>
                    <w:rPr>
                      <w:rStyle w:val="CharStyle31"/>
                    </w:rPr>
                    <w:t>#</w:t>
                  </w:r>
                </w:fldSimple>
                <w:r>
                  <w:rPr>
                    <w:rStyle w:val="CharStyle31"/>
                  </w:rPr>
                  <w:t>/6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513.7pt;margin-top:38.05pt;width:17.3pt;height:8.65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9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1"/>
                  </w:rPr>
                  <w:t>§</w:t>
                </w:r>
                <w:fldSimple w:instr=" PAGE \* MERGEFORMAT ">
                  <w:r>
                    <w:rPr>
                      <w:rStyle w:val="CharStyle31"/>
                    </w:rPr>
                    <w:t>#</w:t>
                  </w:r>
                </w:fldSimple>
                <w:r>
                  <w:rPr>
                    <w:rStyle w:val="CharStyle31"/>
                  </w:rPr>
                  <w:t>/6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520.15pt;margin-top:37.5pt;width:17.5pt;height:8.65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9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1"/>
                  </w:rPr>
                  <w:t>§|</w:t>
                </w:r>
                <w:fldSimple w:instr=" PAGE \* MERGEFORMAT ">
                  <w:r>
                    <w:rPr>
                      <w:rStyle w:val="CharStyle31"/>
                    </w:rPr>
                    <w:t>#</w:t>
                  </w:r>
                </w:fldSimple>
                <w:r>
                  <w:rPr>
                    <w:rStyle w:val="CharStyle31"/>
                  </w:rPr>
                  <w:t>/6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58.05pt;margin-top:37.5pt;width:481.45pt;height:11.5pt;z-index:-188744061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9"/>
                  <w:tabs>
                    <w:tab w:leader="none" w:pos="9629" w:val="right"/>
                  </w:tabs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31"/>
                  </w:rPr>
                  <w:tab/>
                </w:r>
                <w:r>
                  <w:rPr>
                    <w:rStyle w:val="CharStyle39"/>
                  </w:rPr>
                  <w:t>Д15/6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Заголовок №1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1">
    <w:name w:val="Заголовок №1 + 10 pt"/>
    <w:basedOn w:val="CharStyle10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12">
    <w:name w:val="Заголовок №1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Заголовок №1 + 16 pt,Курсив,Интервал -2 pt"/>
    <w:basedOn w:val="CharStyle10"/>
    <w:rPr>
      <w:lang w:val="ru-RU" w:eastAsia="ru-RU" w:bidi="ru-RU"/>
      <w:i/>
      <w:iCs/>
      <w:u w:val="single"/>
      <w:sz w:val="32"/>
      <w:szCs w:val="32"/>
      <w:w w:val="100"/>
      <w:spacing w:val="-50"/>
      <w:color w:val="000000"/>
      <w:position w:val="0"/>
    </w:rPr>
  </w:style>
  <w:style w:type="character" w:customStyle="1" w:styleId="CharStyle14">
    <w:name w:val="Заголовок №1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1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7">
    <w:name w:val="Основной текст (4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1">
    <w:name w:val="Основной текст + Полужирный"/>
    <w:basedOn w:val="CharStyle20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 + 10 pt,Полужирный"/>
    <w:basedOn w:val="CharStyle20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24">
    <w:name w:val="Основной текст (6) Exact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rFonts w:ascii="Calibri" w:eastAsia="Calibri" w:hAnsi="Calibri" w:cs="Calibri"/>
      <w:spacing w:val="51"/>
    </w:rPr>
  </w:style>
  <w:style w:type="character" w:customStyle="1" w:styleId="CharStyle25">
    <w:name w:val="Основной текст + Полужирный"/>
    <w:basedOn w:val="CharStyle2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7">
    <w:name w:val="Основной текст (5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28">
    <w:name w:val="Основной текст (5)"/>
    <w:basedOn w:val="CharStyle2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0">
    <w:name w:val="Колонтитул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31">
    <w:name w:val="Колонтитул"/>
    <w:basedOn w:val="CharStyle3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3">
    <w:name w:val="Основной текст (7)_"/>
    <w:basedOn w:val="DefaultParagraphFont"/>
    <w:link w:val="Style32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4">
    <w:name w:val="Основной текст"/>
    <w:basedOn w:val="CharStyle2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6">
    <w:name w:val="Подпись к таблице_"/>
    <w:basedOn w:val="DefaultParagraphFont"/>
    <w:link w:val="Style35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37">
    <w:name w:val="Основной текст + 10 pt,Полужирный"/>
    <w:basedOn w:val="CharStyle20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38">
    <w:name w:val="Основной текст + 10,5 pt,Полужирный"/>
    <w:basedOn w:val="CharStyle20"/>
    <w:rPr>
      <w:lang w:val="ru-RU" w:eastAsia="ru-RU" w:bidi="ru-RU"/>
      <w:b/>
      <w:bCs/>
      <w:sz w:val="21"/>
      <w:szCs w:val="21"/>
      <w:w w:val="100"/>
      <w:spacing w:val="0"/>
      <w:color w:val="000000"/>
      <w:position w:val="0"/>
    </w:rPr>
  </w:style>
  <w:style w:type="character" w:customStyle="1" w:styleId="CharStyle39">
    <w:name w:val="Колонтитул"/>
    <w:basedOn w:val="CharStyle3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1">
    <w:name w:val="Основной текст (8)_"/>
    <w:basedOn w:val="DefaultParagraphFont"/>
    <w:link w:val="Style40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42">
    <w:name w:val="Основной текст (8) + Полужирный"/>
    <w:basedOn w:val="CharStyle41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43">
    <w:name w:val="Основной текст (8) + Полужирный"/>
    <w:basedOn w:val="CharStyle4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5">
    <w:name w:val="Подпись к картинке Exact"/>
    <w:basedOn w:val="DefaultParagraphFont"/>
    <w:link w:val="Style44"/>
    <w:rPr>
      <w:lang w:val="en-US" w:eastAsia="en-US" w:bidi="en-US"/>
      <w:b w:val="0"/>
      <w:bCs w:val="0"/>
      <w:i/>
      <w:iCs/>
      <w:u w:val="none"/>
      <w:strike w:val="0"/>
      <w:smallCaps w:val="0"/>
      <w:sz w:val="22"/>
      <w:szCs w:val="22"/>
      <w:rFonts w:ascii="Calibri" w:eastAsia="Calibri" w:hAnsi="Calibri" w:cs="Calibri"/>
      <w:spacing w:val="-29"/>
    </w:rPr>
  </w:style>
  <w:style w:type="character" w:customStyle="1" w:styleId="CharStyle46">
    <w:name w:val="Подпись к картинке Exact"/>
    <w:basedOn w:val="CharStyle45"/>
    <w:rPr>
      <w:w w:val="100"/>
      <w:color w:val="000000"/>
      <w:position w:val="0"/>
    </w:rPr>
  </w:style>
  <w:style w:type="character" w:customStyle="1" w:styleId="CharStyle47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60" w:line="28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300" w:line="221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both"/>
      <w:outlineLvl w:val="0"/>
      <w:spacing w:before="300" w:after="18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jc w:val="both"/>
      <w:spacing w:before="18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3">
    <w:name w:val="Основной текст (6)"/>
    <w:basedOn w:val="Normal"/>
    <w:link w:val="CharStyle2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Calibri" w:eastAsia="Calibri" w:hAnsi="Calibri" w:cs="Calibri"/>
      <w:spacing w:val="51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FFFFFF"/>
      <w:spacing w:before="960"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29">
    <w:name w:val="Колонтитул"/>
    <w:basedOn w:val="Normal"/>
    <w:link w:val="CharStyle3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2">
    <w:name w:val="Основной текст (7)"/>
    <w:basedOn w:val="Normal"/>
    <w:link w:val="CharStyle33"/>
    <w:pPr>
      <w:widowControl w:val="0"/>
      <w:shd w:val="clear" w:color="auto" w:fill="FFFFFF"/>
      <w:jc w:val="both"/>
      <w:spacing w:before="300" w:after="240" w:line="269" w:lineRule="exact"/>
      <w:ind w:firstLine="72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35">
    <w:name w:val="Подпись к таблице"/>
    <w:basedOn w:val="Normal"/>
    <w:link w:val="CharStyle3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40">
    <w:name w:val="Основной текст (8)"/>
    <w:basedOn w:val="Normal"/>
    <w:link w:val="CharStyle41"/>
    <w:pPr>
      <w:widowControl w:val="0"/>
      <w:shd w:val="clear" w:color="auto" w:fill="FFFFFF"/>
      <w:jc w:val="both"/>
      <w:spacing w:before="180" w:line="230" w:lineRule="exact"/>
      <w:ind w:firstLine="720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44">
    <w:name w:val="Подпись к картинке"/>
    <w:basedOn w:val="Normal"/>
    <w:link w:val="CharStyle45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2"/>
      <w:szCs w:val="22"/>
      <w:rFonts w:ascii="Calibri" w:eastAsia="Calibri" w:hAnsi="Calibri" w:cs="Calibri"/>
      <w:spacing w:val="-29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