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51" w:wrap="around" w:hAnchor="margin" w:x="2228" w:y="-51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3pt;height:53pt;">
            <v:imagedata r:id="rId5" r:href="rId6"/>
          </v:shape>
        </w:pict>
      </w:r>
    </w:p>
    <w:p>
      <w:pPr>
        <w:pStyle w:val="Style10"/>
        <w:widowControl w:val="0"/>
        <w:keepNext w:val="0"/>
        <w:keepLines w:val="0"/>
        <w:shd w:val="clear" w:color="auto" w:fill="auto"/>
        <w:bidi w:val="0"/>
        <w:spacing w:before="0" w:after="0"/>
        <w:ind w:left="0" w:right="0"/>
      </w:pPr>
      <w:r>
        <w:rPr>
          <w:lang w:val="ru-RU" w:eastAsia="ru-RU" w:bidi="ru-RU"/>
          <w:w w:val="100"/>
          <w:spacing w:val="0"/>
          <w:color w:val="000000"/>
          <w:position w:val="0"/>
        </w:rPr>
        <w:t>Заказчик:</w:t>
      </w:r>
    </w:p>
    <w:p>
      <w:pPr>
        <w:pStyle w:val="Style3"/>
        <w:framePr w:w="4909" w:h="3366" w:wrap="around" w:vAnchor="text" w:hAnchor="margin" w:x="211" w:y="400"/>
        <w:widowControl w:val="0"/>
        <w:keepNext w:val="0"/>
        <w:keepLines w:val="0"/>
        <w:shd w:val="clear" w:color="auto" w:fill="auto"/>
        <w:bidi w:val="0"/>
        <w:jc w:val="center"/>
        <w:spacing w:before="0" w:after="124" w:line="293" w:lineRule="exact"/>
        <w:ind w:left="20" w:right="0" w:firstLine="0"/>
      </w:pPr>
      <w:r>
        <w:rPr>
          <w:rStyle w:val="CharStyle5"/>
          <w:spacing w:val="0"/>
        </w:rPr>
        <w:t>ФЕДЕРАЛЬНАЯ АНТИМОНОПОЛЬНАЯ СЛУЖБА</w:t>
      </w:r>
    </w:p>
    <w:p>
      <w:pPr>
        <w:pStyle w:val="Style3"/>
        <w:framePr w:w="4909" w:h="3366" w:wrap="around" w:vAnchor="text" w:hAnchor="margin" w:x="211" w:y="400"/>
        <w:widowControl w:val="0"/>
        <w:keepNext w:val="0"/>
        <w:keepLines w:val="0"/>
        <w:shd w:val="clear" w:color="auto" w:fill="auto"/>
        <w:bidi w:val="0"/>
        <w:jc w:val="center"/>
        <w:spacing w:before="0" w:after="170" w:line="288" w:lineRule="exact"/>
        <w:ind w:left="20" w:right="0" w:firstLine="0"/>
      </w:pPr>
      <w:r>
        <w:rPr>
          <w:rStyle w:val="CharStyle5"/>
          <w:spacing w:val="0"/>
        </w:rPr>
        <w:t>УПРАВЛЕ</w:t>
      </w:r>
      <w:r>
        <w:rPr>
          <w:rStyle w:val="CharStyle6"/>
          <w:spacing w:val="0"/>
        </w:rPr>
        <w:t>НИЕ</w:t>
      </w:r>
      <w:r>
        <w:rPr>
          <w:rStyle w:val="CharStyle5"/>
          <w:spacing w:val="0"/>
        </w:rPr>
        <w:t xml:space="preserve"> Федеральной антимонопольной службы по Тверской области</w:t>
      </w:r>
    </w:p>
    <w:p>
      <w:pPr>
        <w:pStyle w:val="Style7"/>
        <w:framePr w:w="4909" w:h="3366" w:wrap="around" w:vAnchor="text" w:hAnchor="margin" w:x="211" w:y="400"/>
        <w:widowControl w:val="0"/>
        <w:keepNext w:val="0"/>
        <w:keepLines w:val="0"/>
        <w:shd w:val="clear" w:color="auto" w:fill="auto"/>
        <w:bidi w:val="0"/>
        <w:spacing w:before="0" w:after="637"/>
        <w:ind w:left="20" w:right="0" w:firstLine="0"/>
      </w:pPr>
      <w:r>
        <w:rPr>
          <w:rStyle w:val="CharStyle9"/>
          <w:spacing w:val="0"/>
        </w:rPr>
        <w:t xml:space="preserve">ул. Советская, 23, г. Тверь, 170100 тел.: (4822) 32-08-32 </w:t>
      </w:r>
      <w:r>
        <w:rPr>
          <w:rStyle w:val="CharStyle9"/>
          <w:lang w:val="en-US" w:eastAsia="en-US" w:bidi="en-US"/>
          <w:spacing w:val="0"/>
        </w:rPr>
        <w:t xml:space="preserve">e-mail: </w:t>
      </w:r>
      <w:r>
        <w:fldChar w:fldCharType="begin"/>
      </w:r>
      <w:r>
        <w:rPr>
          <w:rStyle w:val="CharStyle9"/>
        </w:rPr>
        <w:instrText> HYPERLINK "mailto:to69@fas.gov.ru" </w:instrText>
      </w:r>
      <w:r>
        <w:fldChar w:fldCharType="separate"/>
      </w:r>
      <w:r>
        <w:rPr>
          <w:rStyle w:val="Hyperlink"/>
          <w:lang w:val="en-US" w:eastAsia="en-US" w:bidi="en-US"/>
          <w:spacing w:val="0"/>
        </w:rPr>
        <w:t>to69@fas.gov.ru</w:t>
      </w:r>
      <w:r>
        <w:fldChar w:fldCharType="end"/>
      </w:r>
    </w:p>
    <w:p>
      <w:pPr>
        <w:pStyle w:val="Style7"/>
        <w:framePr w:w="4909" w:h="3366" w:wrap="around" w:vAnchor="text" w:hAnchor="margin" w:x="211" w:y="400"/>
        <w:tabs>
          <w:tab w:leader="underscore" w:pos="2615" w:val="right"/>
        </w:tabs>
        <w:widowControl w:val="0"/>
        <w:keepNext w:val="0"/>
        <w:keepLines w:val="0"/>
        <w:shd w:val="clear" w:color="auto" w:fill="auto"/>
        <w:bidi w:val="0"/>
        <w:jc w:val="both"/>
        <w:spacing w:before="0" w:after="0" w:line="180" w:lineRule="exact"/>
        <w:ind w:left="220" w:right="0" w:firstLine="0"/>
      </w:pPr>
      <w:r>
        <w:rPr>
          <w:rStyle w:val="CharStyle9"/>
          <w:spacing w:val="0"/>
        </w:rPr>
        <w:t>На №</w:t>
        <w:tab/>
        <w:t xml:space="preserve"> от</w:t>
      </w:r>
    </w:p>
    <w:p>
      <w:pPr>
        <w:pStyle w:val="Style3"/>
        <w:widowControl w:val="0"/>
        <w:keepNext w:val="0"/>
        <w:keepLines w:val="0"/>
        <w:shd w:val="clear" w:color="auto" w:fill="auto"/>
        <w:bidi w:val="0"/>
        <w:spacing w:before="0" w:after="0"/>
        <w:ind w:left="0" w:right="20" w:firstLine="2320"/>
      </w:pPr>
      <w:r>
        <w:rPr>
          <w:lang w:val="ru-RU" w:eastAsia="ru-RU" w:bidi="ru-RU"/>
          <w:w w:val="100"/>
          <w:spacing w:val="0"/>
          <w:color w:val="000000"/>
          <w:position w:val="0"/>
        </w:rPr>
        <w:t>МОУ СОШ № 4 имени В. Бурова пер. Первомайский, д.35/7-а, г. Бежецк, Бежецкий р-н, Тверская обл., 171984 тел./факс: +7 (48231) 22664, +7 (48231) 22797</w:t>
      </w:r>
    </w:p>
    <w:p>
      <w:pPr>
        <w:pStyle w:val="Style3"/>
        <w:widowControl w:val="0"/>
        <w:keepNext w:val="0"/>
        <w:keepLines w:val="0"/>
        <w:shd w:val="clear" w:color="auto" w:fill="auto"/>
        <w:bidi w:val="0"/>
        <w:spacing w:before="0" w:after="244"/>
        <w:ind w:left="0" w:right="0" w:firstLine="0"/>
      </w:pPr>
      <w:r>
        <w:rPr>
          <w:lang w:val="en-US" w:eastAsia="en-US" w:bidi="en-US"/>
          <w:w w:val="100"/>
          <w:spacing w:val="0"/>
          <w:color w:val="000000"/>
          <w:position w:val="0"/>
        </w:rPr>
        <w:t xml:space="preserve">e-mail: </w:t>
      </w:r>
      <w:r>
        <w:fldChar w:fldCharType="begin"/>
      </w:r>
      <w:r>
        <w:rPr>
          <w:rStyle w:val="CharStyle13"/>
        </w:rPr>
        <w:instrText> HYPERLINK "mailto:schoolbur@mail.ru" </w:instrText>
      </w:r>
      <w:r>
        <w:fldChar w:fldCharType="separate"/>
      </w:r>
      <w:r>
        <w:rPr>
          <w:rStyle w:val="Hyperlink"/>
        </w:rPr>
        <w:t>schoolbur@mail.ru</w:t>
      </w:r>
      <w:r>
        <w:fldChar w:fldCharType="end"/>
      </w:r>
    </w:p>
    <w:p>
      <w:pPr>
        <w:pStyle w:val="Style14"/>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Уполномоченный орган:</w:t>
      </w:r>
      <w:bookmarkEnd w:id="0"/>
    </w:p>
    <w:p>
      <w:pPr>
        <w:pStyle w:val="Style3"/>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Администрация Бежецкого района Тверской области</w:t>
      </w:r>
    </w:p>
    <w:p>
      <w:pPr>
        <w:pStyle w:val="Style3"/>
        <w:widowControl w:val="0"/>
        <w:keepNext w:val="0"/>
        <w:keepLines w:val="0"/>
        <w:shd w:val="clear" w:color="auto" w:fill="auto"/>
        <w:bidi w:val="0"/>
        <w:spacing w:before="0" w:after="240" w:line="274" w:lineRule="exact"/>
        <w:ind w:left="0" w:right="20" w:firstLine="0"/>
      </w:pPr>
      <w:r>
        <w:rPr>
          <w:lang w:val="ru-RU" w:eastAsia="ru-RU" w:bidi="ru-RU"/>
          <w:w w:val="100"/>
          <w:spacing w:val="0"/>
          <w:color w:val="000000"/>
          <w:position w:val="0"/>
        </w:rPr>
        <w:t xml:space="preserve">пер. Первомайский, д. 21, г. Бежецк, Бежецкий р-н, Тверская обл., 171987 тел: +7 (48231) 21581, +7 (48231) 22938 </w:t>
      </w:r>
      <w:r>
        <w:rPr>
          <w:lang w:val="en-US" w:eastAsia="en-US" w:bidi="en-US"/>
          <w:w w:val="100"/>
          <w:spacing w:val="0"/>
          <w:color w:val="000000"/>
          <w:position w:val="0"/>
        </w:rPr>
        <w:t xml:space="preserve">e-mail: </w:t>
      </w:r>
      <w:r>
        <w:fldChar w:fldCharType="begin"/>
      </w:r>
      <w:r>
        <w:rPr>
          <w:rStyle w:val="CharStyle13"/>
        </w:rPr>
        <w:instrText> HYPERLINK "mailto:bezhzakaz@rambler.ru" </w:instrText>
      </w:r>
      <w:r>
        <w:fldChar w:fldCharType="separate"/>
      </w:r>
      <w:r>
        <w:rPr>
          <w:rStyle w:val="Hyperlink"/>
        </w:rPr>
        <w:t>bezhzakaz@rambler.ru</w:t>
      </w:r>
      <w:r>
        <w:fldChar w:fldCharType="end"/>
      </w:r>
    </w:p>
    <w:p>
      <w:pPr>
        <w:pStyle w:val="Style14"/>
        <w:widowControl w:val="0"/>
        <w:keepNext/>
        <w:keepLines/>
        <w:shd w:val="clear" w:color="auto" w:fill="auto"/>
        <w:bidi w:val="0"/>
        <w:jc w:val="left"/>
        <w:spacing w:before="0" w:after="0"/>
        <w:ind w:left="5400" w:right="0" w:firstLine="0"/>
      </w:pPr>
      <w:bookmarkStart w:id="1" w:name="bookmark1"/>
      <w:r>
        <w:rPr>
          <w:lang w:val="ru-RU" w:eastAsia="ru-RU" w:bidi="ru-RU"/>
          <w:w w:val="100"/>
          <w:spacing w:val="0"/>
          <w:color w:val="000000"/>
          <w:position w:val="0"/>
        </w:rPr>
        <w:t>Заявитель:</w:t>
      </w:r>
      <w:bookmarkEnd w:id="1"/>
    </w:p>
    <w:p>
      <w:pPr>
        <w:pStyle w:val="Style3"/>
        <w:widowControl w:val="0"/>
        <w:keepNext w:val="0"/>
        <w:keepLines w:val="0"/>
        <w:shd w:val="clear" w:color="auto" w:fill="auto"/>
        <w:bidi w:val="0"/>
        <w:jc w:val="left"/>
        <w:spacing w:before="0" w:after="240" w:line="274" w:lineRule="exact"/>
        <w:ind w:left="5400" w:right="20" w:firstLine="0"/>
      </w:pPr>
      <w:r>
        <w:rPr>
          <w:lang w:val="ru-RU" w:eastAsia="ru-RU" w:bidi="ru-RU"/>
          <w:w w:val="100"/>
          <w:spacing w:val="0"/>
          <w:color w:val="000000"/>
          <w:position w:val="0"/>
        </w:rPr>
        <w:t xml:space="preserve">ООО «МД-Консалтинг» б-р Приморский, д. 26, офис 5, г. Тольятти, Свердловская обл., 445051 тел.: 7 9171093680 </w:t>
      </w:r>
      <w:r>
        <w:rPr>
          <w:lang w:val="en-US" w:eastAsia="en-US" w:bidi="en-US"/>
          <w:w w:val="100"/>
          <w:spacing w:val="0"/>
          <w:color w:val="000000"/>
          <w:position w:val="0"/>
        </w:rPr>
        <w:t xml:space="preserve">e-mail: </w:t>
      </w:r>
      <w:r>
        <w:fldChar w:fldCharType="begin"/>
      </w:r>
      <w:r>
        <w:rPr>
          <w:rStyle w:val="CharStyle13"/>
        </w:rPr>
        <w:instrText> HYPERLINK "mailto:md-consulting63@mail.ru" </w:instrText>
      </w:r>
      <w:r>
        <w:fldChar w:fldCharType="separate"/>
      </w:r>
      <w:r>
        <w:rPr>
          <w:rStyle w:val="Hyperlink"/>
        </w:rPr>
        <w:t>md-consulting63@mail.ru</w:t>
      </w:r>
      <w:r>
        <w:fldChar w:fldCharType="end"/>
      </w:r>
    </w:p>
    <w:p>
      <w:pPr>
        <w:pStyle w:val="Style14"/>
        <w:widowControl w:val="0"/>
        <w:keepNext/>
        <w:keepLines/>
        <w:shd w:val="clear" w:color="auto" w:fill="auto"/>
        <w:bidi w:val="0"/>
        <w:jc w:val="left"/>
        <w:spacing w:before="0" w:after="0"/>
        <w:ind w:left="5400" w:right="0" w:firstLine="0"/>
      </w:pPr>
      <w:bookmarkStart w:id="2" w:name="bookmark2"/>
      <w:r>
        <w:rPr>
          <w:lang w:val="ru-RU" w:eastAsia="ru-RU" w:bidi="ru-RU"/>
          <w:w w:val="100"/>
          <w:spacing w:val="0"/>
          <w:color w:val="000000"/>
          <w:position w:val="0"/>
        </w:rPr>
        <w:t>Оператор электронной площадки:</w:t>
      </w:r>
      <w:bookmarkEnd w:id="2"/>
    </w:p>
    <w:p>
      <w:pPr>
        <w:pStyle w:val="Style3"/>
        <w:widowControl w:val="0"/>
        <w:keepNext w:val="0"/>
        <w:keepLines w:val="0"/>
        <w:shd w:val="clear" w:color="auto" w:fill="auto"/>
        <w:bidi w:val="0"/>
        <w:jc w:val="left"/>
        <w:spacing w:before="0" w:after="275" w:line="274" w:lineRule="exact"/>
        <w:ind w:left="5400" w:right="20" w:firstLine="0"/>
      </w:pPr>
      <w:r>
        <w:rPr>
          <w:lang w:val="ru-RU" w:eastAsia="ru-RU" w:bidi="ru-RU"/>
          <w:w w:val="100"/>
          <w:spacing w:val="0"/>
          <w:color w:val="000000"/>
          <w:position w:val="0"/>
        </w:rPr>
        <w:t xml:space="preserve">АО «Сбербанк - АСТ» ул. Большая Якиманка, д. 23, г. Москва, 119180 </w:t>
      </w:r>
      <w:r>
        <w:rPr>
          <w:lang w:val="en-US" w:eastAsia="en-US" w:bidi="en-US"/>
          <w:w w:val="100"/>
          <w:spacing w:val="0"/>
          <w:color w:val="000000"/>
          <w:position w:val="0"/>
        </w:rPr>
        <w:t xml:space="preserve">e-mail: </w:t>
      </w:r>
      <w:r>
        <w:fldChar w:fldCharType="begin"/>
      </w:r>
      <w:r>
        <w:rPr>
          <w:rStyle w:val="CharStyle13"/>
        </w:rPr>
        <w:instrText> HYPERLINK "mailto:ko@sberbank-ast.ru" </w:instrText>
      </w:r>
      <w:r>
        <w:fldChar w:fldCharType="separate"/>
      </w:r>
      <w:r>
        <w:rPr>
          <w:rStyle w:val="Hyperlink"/>
        </w:rPr>
        <w:t>ko@sberbank-ast.ru</w:t>
      </w:r>
      <w:r>
        <w:fldChar w:fldCharType="end"/>
      </w:r>
    </w:p>
    <w:p>
      <w:pPr>
        <w:pStyle w:val="Style14"/>
        <w:widowControl w:val="0"/>
        <w:keepNext/>
        <w:keepLines/>
        <w:shd w:val="clear" w:color="auto" w:fill="auto"/>
        <w:bidi w:val="0"/>
        <w:jc w:val="left"/>
        <w:spacing w:before="0" w:after="3" w:line="230" w:lineRule="exact"/>
        <w:ind w:left="3860" w:right="0" w:firstLine="0"/>
      </w:pPr>
      <w:bookmarkStart w:id="3" w:name="bookmark3"/>
      <w:r>
        <w:rPr>
          <w:lang w:val="ru-RU" w:eastAsia="ru-RU" w:bidi="ru-RU"/>
          <w:w w:val="100"/>
          <w:spacing w:val="0"/>
          <w:color w:val="000000"/>
          <w:position w:val="0"/>
        </w:rPr>
        <w:t>Решение № 05-6/1-123-2022</w:t>
      </w:r>
      <w:bookmarkEnd w:id="3"/>
    </w:p>
    <w:p>
      <w:pPr>
        <w:pStyle w:val="Style3"/>
        <w:tabs>
          <w:tab w:leader="none" w:pos="9158" w:val="center"/>
          <w:tab w:leader="none" w:pos="9898" w:val="right"/>
        </w:tabs>
        <w:widowControl w:val="0"/>
        <w:keepNext w:val="0"/>
        <w:keepLines w:val="0"/>
        <w:shd w:val="clear" w:color="auto" w:fill="auto"/>
        <w:bidi w:val="0"/>
        <w:spacing w:before="0" w:after="213" w:line="230" w:lineRule="exact"/>
        <w:ind w:left="0" w:right="0" w:firstLine="0"/>
      </w:pPr>
      <w:r>
        <w:rPr>
          <w:lang w:val="ru-RU" w:eastAsia="ru-RU" w:bidi="ru-RU"/>
          <w:w w:val="100"/>
          <w:spacing w:val="0"/>
          <w:color w:val="000000"/>
          <w:position w:val="0"/>
        </w:rPr>
        <w:t>09 августа 2022 года</w:t>
        <w:tab/>
        <w:t>г.</w:t>
        <w:tab/>
        <w:t>Тверь</w:t>
      </w:r>
    </w:p>
    <w:p>
      <w:pPr>
        <w:pStyle w:val="Style3"/>
        <w:widowControl w:val="0"/>
        <w:keepNext w:val="0"/>
        <w:keepLines w:val="0"/>
        <w:shd w:val="clear" w:color="auto" w:fill="auto"/>
        <w:bidi w:val="0"/>
        <w:jc w:val="left"/>
        <w:spacing w:before="0" w:after="0" w:line="274"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3"/>
        <w:widowControl w:val="0"/>
        <w:keepNext w:val="0"/>
        <w:keepLines w:val="0"/>
        <w:shd w:val="clear" w:color="auto" w:fill="auto"/>
        <w:bidi w:val="0"/>
        <w:jc w:val="left"/>
        <w:spacing w:before="0" w:after="0" w:line="274" w:lineRule="exact"/>
        <w:ind w:left="720" w:right="20" w:firstLine="0"/>
      </w:pPr>
      <w:r>
        <w:rPr>
          <w:lang w:val="ru-RU" w:eastAsia="ru-RU" w:bidi="ru-RU"/>
          <w:w w:val="100"/>
          <w:spacing w:val="0"/>
          <w:color w:val="000000"/>
          <w:position w:val="0"/>
        </w:rPr>
        <w:t>Павленко А.В. - главный специалист-эксперт отдела контроля закупок члены Комиссии:</w:t>
      </w:r>
    </w:p>
    <w:p>
      <w:pPr>
        <w:pStyle w:val="Style3"/>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Винницкая П.Д. - ведущий специалист-эксперт отдела контроля закупок,</w:t>
      </w:r>
    </w:p>
    <w:p>
      <w:pPr>
        <w:pStyle w:val="Style3"/>
        <w:widowControl w:val="0"/>
        <w:keepNext w:val="0"/>
        <w:keepLines w:val="0"/>
        <w:shd w:val="clear" w:color="auto" w:fill="auto"/>
        <w:bidi w:val="0"/>
        <w:jc w:val="left"/>
        <w:spacing w:before="0" w:after="0" w:line="274" w:lineRule="exact"/>
        <w:ind w:left="720" w:right="20" w:firstLine="0"/>
      </w:pPr>
      <w:r>
        <w:rPr>
          <w:lang w:val="ru-RU" w:eastAsia="ru-RU" w:bidi="ru-RU"/>
          <w:w w:val="100"/>
          <w:spacing w:val="0"/>
          <w:color w:val="000000"/>
          <w:position w:val="0"/>
        </w:rPr>
        <w:t>Улупов К.О. - специалист 1 разряда отдела контроля закупок, при участии посредством видеооконференц-связи представителей:</w:t>
      </w:r>
    </w:p>
    <w:p>
      <w:pPr>
        <w:pStyle w:val="Style3"/>
        <w:widowControl w:val="0"/>
        <w:keepNext w:val="0"/>
        <w:keepLines w:val="0"/>
        <w:shd w:val="clear" w:color="auto" w:fill="auto"/>
        <w:bidi w:val="0"/>
        <w:jc w:val="left"/>
        <w:spacing w:before="0" w:after="0" w:line="274" w:lineRule="exact"/>
        <w:ind w:left="0" w:right="20" w:firstLine="720"/>
      </w:pPr>
      <w:r>
        <w:rPr>
          <w:lang w:val="ru-RU" w:eastAsia="ru-RU" w:bidi="ru-RU"/>
          <w:w w:val="100"/>
          <w:spacing w:val="0"/>
          <w:color w:val="000000"/>
          <w:position w:val="0"/>
        </w:rPr>
        <w:t>Администрации Бежецкого района Тверской области (далее - Уполномоченный орган): Мормылева Д.Ю. (по доверенности);</w:t>
      </w:r>
    </w:p>
    <w:p>
      <w:pPr>
        <w:pStyle w:val="Style3"/>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представители МОУ СОШ № 4 имени В. Бурова (далее - Заявитель), ООО «МД- Консалтинг»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3"/>
        <w:tabs>
          <w:tab w:leader="none" w:pos="7469" w:val="left"/>
        </w:tabs>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w:t>
        <w:tab/>
        <w:t>7.7-7.8 Положения о</w:t>
      </w:r>
    </w:p>
    <w:p>
      <w:pPr>
        <w:pStyle w:val="Style3"/>
        <w:widowControl w:val="0"/>
        <w:keepNext w:val="0"/>
        <w:keepLines w:val="0"/>
        <w:shd w:val="clear" w:color="auto" w:fill="auto"/>
        <w:bidi w:val="0"/>
        <w:spacing w:before="0" w:after="187" w:line="274" w:lineRule="exact"/>
        <w:ind w:left="0" w:right="20" w:firstLine="0"/>
      </w:pPr>
      <w:r>
        <w:rPr>
          <w:lang w:val="ru-RU" w:eastAsia="ru-RU" w:bidi="ru-RU"/>
          <w:w w:val="100"/>
          <w:spacing w:val="0"/>
          <w:color w:val="000000"/>
          <w:position w:val="0"/>
        </w:rPr>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w:t>
      </w:r>
    </w:p>
    <w:p>
      <w:pPr>
        <w:pStyle w:val="Style16"/>
        <w:widowControl w:val="0"/>
        <w:keepNext/>
        <w:keepLines/>
        <w:shd w:val="clear" w:color="auto" w:fill="auto"/>
        <w:bidi w:val="0"/>
        <w:jc w:val="left"/>
        <w:spacing w:before="0" w:after="0" w:line="340" w:lineRule="exact"/>
        <w:ind w:left="7320" w:right="0" w:firstLine="0"/>
      </w:pPr>
      <w:bookmarkStart w:id="4" w:name="bookmark4"/>
      <w:r>
        <w:rPr>
          <w:lang w:val="ru-RU" w:eastAsia="ru-RU" w:bidi="ru-RU"/>
          <w:w w:val="100"/>
          <w:color w:val="000000"/>
          <w:position w:val="0"/>
        </w:rPr>
        <w:t>102572</w:t>
      </w:r>
      <w:bookmarkEnd w:id="4"/>
      <w:r>
        <w:br w:type="page"/>
      </w:r>
    </w:p>
    <w:p>
      <w:pPr>
        <w:pStyle w:val="Style3"/>
        <w:widowControl w:val="0"/>
        <w:keepNext w:val="0"/>
        <w:keepLines w:val="0"/>
        <w:shd w:val="clear" w:color="auto" w:fill="auto"/>
        <w:bidi w:val="0"/>
        <w:spacing w:before="0" w:after="275" w:line="274" w:lineRule="exact"/>
        <w:ind w:left="20" w:right="20" w:firstLine="0"/>
      </w:pPr>
      <w:r>
        <w:rPr>
          <w:lang w:val="ru-RU" w:eastAsia="ru-RU" w:bidi="ru-RU"/>
          <w:w w:val="100"/>
          <w:spacing w:val="0"/>
          <w:color w:val="000000"/>
          <w:position w:val="0"/>
        </w:rPr>
        <w:t>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Заявителя и проведя внеплановую проверку,</w:t>
      </w:r>
    </w:p>
    <w:p>
      <w:pPr>
        <w:pStyle w:val="Style21"/>
        <w:widowControl w:val="0"/>
        <w:keepNext/>
        <w:keepLines/>
        <w:shd w:val="clear" w:color="auto" w:fill="auto"/>
        <w:bidi w:val="0"/>
        <w:jc w:val="left"/>
        <w:spacing w:before="0" w:after="204" w:line="230" w:lineRule="exact"/>
        <w:ind w:left="4440" w:right="0" w:firstLine="0"/>
      </w:pPr>
      <w:bookmarkStart w:id="5" w:name="bookmark5"/>
      <w:r>
        <w:rPr>
          <w:lang w:val="ru-RU" w:eastAsia="ru-RU" w:bidi="ru-RU"/>
          <w:w w:val="100"/>
          <w:spacing w:val="0"/>
          <w:color w:val="000000"/>
          <w:position w:val="0"/>
        </w:rPr>
        <w:t>УСТАНОВИЛА:</w:t>
      </w:r>
      <w:bookmarkEnd w:id="5"/>
    </w:p>
    <w:p>
      <w:pPr>
        <w:pStyle w:val="Style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Тверское УФАС России 02.08.2022 поступила жалоба Заявителя на действия/бездействие Заказчика при проведении открытого конкурса в электронной форме на предоставление услуг по капитальному ремонту стадиона с устройством универсальной спортивной площадки на территории МОУ СОШ №4 по адресу Тверская область, р-н Бежецкий. г.Бежецк пер. Первомайский д.35/7-а.на земельном участке 69:37:0070326:33 (извещение от</w:t>
      </w:r>
    </w:p>
    <w:p>
      <w:pPr>
        <w:pStyle w:val="Style3"/>
        <w:numPr>
          <w:ilvl w:val="0"/>
          <w:numId w:val="1"/>
        </w:numPr>
        <w:tabs>
          <w:tab w:leader="none" w:pos="1230"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0136300050222000034 на официальном сайте Единой информационной системы в сфере закупок -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Конкурс).</w:t>
      </w:r>
    </w:p>
    <w:p>
      <w:pPr>
        <w:pStyle w:val="Style3"/>
        <w:widowControl w:val="0"/>
        <w:keepNext w:val="0"/>
        <w:keepLines w:val="0"/>
        <w:shd w:val="clear" w:color="auto" w:fill="auto"/>
        <w:bidi w:val="0"/>
        <w:spacing w:before="0" w:after="236"/>
        <w:ind w:left="20" w:right="20" w:firstLine="720"/>
      </w:pPr>
      <w:r>
        <w:rPr>
          <w:lang w:val="ru-RU" w:eastAsia="ru-RU" w:bidi="ru-RU"/>
          <w:w w:val="100"/>
          <w:spacing w:val="0"/>
          <w:color w:val="000000"/>
          <w:position w:val="0"/>
        </w:rPr>
        <w:t>Согласно доводу жалобы Заявителя, Заказчиком неправомерно установлено предельное минимальное значение общей цены исполненных участником закупки договоров, общего количества исполненных участником закупки договоров.</w:t>
      </w:r>
    </w:p>
    <w:p>
      <w:pPr>
        <w:pStyle w:val="Style3"/>
        <w:widowControl w:val="0"/>
        <w:keepNext w:val="0"/>
        <w:keepLines w:val="0"/>
        <w:shd w:val="clear" w:color="auto" w:fill="auto"/>
        <w:bidi w:val="0"/>
        <w:spacing w:before="0" w:after="0" w:line="283" w:lineRule="exact"/>
        <w:ind w:left="20" w:right="20" w:firstLine="720"/>
      </w:pPr>
      <w:r>
        <w:rPr>
          <w:lang w:val="ru-RU" w:eastAsia="ru-RU" w:bidi="ru-RU"/>
          <w:w w:val="100"/>
          <w:spacing w:val="0"/>
          <w:color w:val="000000"/>
          <w:position w:val="0"/>
        </w:rPr>
        <w:t>В соответствии с извещением о проведении Конкурса, составленным при осуществлении закупки:</w:t>
      </w:r>
    </w:p>
    <w:p>
      <w:pPr>
        <w:pStyle w:val="Style3"/>
        <w:numPr>
          <w:ilvl w:val="0"/>
          <w:numId w:val="3"/>
        </w:numPr>
        <w:tabs>
          <w:tab w:leader="none" w:pos="1368"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извещение о проведении Конкурса размещено на Официальном сайте 18.07.2022;</w:t>
      </w:r>
    </w:p>
    <w:p>
      <w:pPr>
        <w:pStyle w:val="Style3"/>
        <w:numPr>
          <w:ilvl w:val="0"/>
          <w:numId w:val="3"/>
        </w:numPr>
        <w:tabs>
          <w:tab w:leader="none" w:pos="1368"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контракта - 23 041 170,00 рублей;</w:t>
      </w:r>
    </w:p>
    <w:p>
      <w:pPr>
        <w:pStyle w:val="Style3"/>
        <w:numPr>
          <w:ilvl w:val="0"/>
          <w:numId w:val="3"/>
        </w:numPr>
        <w:tabs>
          <w:tab w:leader="none" w:pos="1368"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дата окончания подачи заявок - 03.08.2022;</w:t>
      </w:r>
    </w:p>
    <w:p>
      <w:pPr>
        <w:pStyle w:val="Style3"/>
        <w:numPr>
          <w:ilvl w:val="0"/>
          <w:numId w:val="3"/>
        </w:numPr>
        <w:tabs>
          <w:tab w:leader="none" w:pos="1368" w:val="left"/>
        </w:tabs>
        <w:widowControl w:val="0"/>
        <w:keepNext w:val="0"/>
        <w:keepLines w:val="0"/>
        <w:shd w:val="clear" w:color="auto" w:fill="auto"/>
        <w:bidi w:val="0"/>
        <w:spacing w:before="0" w:after="240"/>
        <w:ind w:left="20" w:right="20" w:firstLine="720"/>
      </w:pPr>
      <w:r>
        <w:rPr>
          <w:lang w:val="ru-RU" w:eastAsia="ru-RU" w:bidi="ru-RU"/>
          <w:w w:val="100"/>
          <w:spacing w:val="0"/>
          <w:color w:val="000000"/>
          <w:position w:val="0"/>
        </w:rPr>
        <w:t>дата проведения Конкурса - 25.07.2022, по окончании срока подачи заявок подана только одна заявка на участие в закупке, заявка признана соответствующей требованиям Конкурса, определен победитель.</w:t>
      </w:r>
    </w:p>
    <w:p>
      <w:pPr>
        <w:pStyle w:val="Style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w:t>
      </w:r>
      <w:r>
        <w:rPr>
          <w:rStyle w:val="CharStyle13"/>
          <w:lang w:val="ru-RU" w:eastAsia="ru-RU" w:bidi="ru-RU"/>
        </w:rPr>
        <w:t>чины</w:t>
      </w:r>
      <w:r>
        <w:rPr>
          <w:lang w:val="ru-RU" w:eastAsia="ru-RU" w:bidi="ru-RU"/>
          <w:w w:val="100"/>
          <w:spacing w:val="0"/>
          <w:color w:val="000000"/>
          <w:position w:val="0"/>
        </w:rPr>
        <w:t xml:space="preserve"> значимости этих критериев в соответствии с Законом о контрактной системе.</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4 части 1 статьи 32 Закона о контрактной системе для оценки заявок участников закупки заказчик использует следующий критерий -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подпункта «в» пункта 24 Положения для оценки заявок по критерию оценки «квалификация участников закупки» может применяться, если иное не предусмотрено Положением, показатель оценки - наличие у участников закупки опыта поставки товара, выполнения работы, оказания услуги, связанного с предметом контракта.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подпункту «в» пункта 28 Положения в случае применения показателя оценки, предусмотренного подпунктом «в» пункта 24 Положения, документом, предусмотренным приложением № 1 к Положению,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Порядком оценки заявок Извещения установлен критерий «Квалификация участников закупки», который содержит детализирующие показатели «Общая цена исполненных участником закупки договоров, предельное минимальное значение - 80 млн.руб.», «Общее количество исполненных участником закупки договоров, предельное минимальное значение - 20 штук» (далее - Детализирующие показатели) показателя «Наличие у участников закупки опыта поставки товара, выполнения работы, оказания услуги, связанного с предметом контракта».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учитывая, что начальная (максимальная) цена контракта составляет 23 041 170,00 рублей, действия Заказчика, установившего предельное минимальное значение по Детализирующим показателям Критерия в размере 80 млн.руб, 20 договоров является ненадлежащим, поскольку не позволяет выявить лучшие условия исполнения контракта и объективно сопоставить предложения участников Конкурса, имеющих опыт, менее установленного предельного минимального значения.</w:t>
      </w:r>
    </w:p>
    <w:p>
      <w:pPr>
        <w:pStyle w:val="Style3"/>
        <w:widowControl w:val="0"/>
        <w:keepNext w:val="0"/>
        <w:keepLines w:val="0"/>
        <w:shd w:val="clear" w:color="auto" w:fill="auto"/>
        <w:bidi w:val="0"/>
        <w:spacing w:before="0" w:after="275" w:line="274" w:lineRule="exact"/>
        <w:ind w:left="20" w:right="20" w:firstLine="720"/>
      </w:pPr>
      <w:r>
        <w:rPr>
          <w:lang w:val="ru-RU" w:eastAsia="ru-RU" w:bidi="ru-RU"/>
          <w:w w:val="100"/>
          <w:spacing w:val="0"/>
          <w:color w:val="000000"/>
          <w:position w:val="0"/>
        </w:rPr>
        <w:t>Учитывая изложенное, действия Заказчика нарушают пункт 11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 4 статьи 7.30 Кодекса Российской Федерации об административных правонарушениях (далее - КоАП РФ).</w:t>
      </w:r>
    </w:p>
    <w:p>
      <w:pPr>
        <w:pStyle w:val="Style3"/>
        <w:widowControl w:val="0"/>
        <w:keepNext w:val="0"/>
        <w:keepLines w:val="0"/>
        <w:shd w:val="clear" w:color="auto" w:fill="auto"/>
        <w:bidi w:val="0"/>
        <w:spacing w:before="0" w:after="258" w:line="230" w:lineRule="exact"/>
        <w:ind w:left="20" w:right="0" w:firstLine="720"/>
      </w:pPr>
      <w:r>
        <w:rPr>
          <w:lang w:val="ru-RU" w:eastAsia="ru-RU" w:bidi="ru-RU"/>
          <w:w w:val="100"/>
          <w:spacing w:val="0"/>
          <w:color w:val="000000"/>
          <w:position w:val="0"/>
        </w:rPr>
        <w:t>Кроме того, в ходе внеплановой проверки Комиссией установлено следующее.</w:t>
      </w:r>
    </w:p>
    <w:p>
      <w:pPr>
        <w:pStyle w:val="Style3"/>
        <w:numPr>
          <w:ilvl w:val="0"/>
          <w:numId w:val="5"/>
        </w:numPr>
        <w:tabs>
          <w:tab w:leader="none" w:pos="1196"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под</w:t>
      </w:r>
      <w:r>
        <w:rPr>
          <w:rStyle w:val="CharStyle13"/>
          <w:lang w:val="ru-RU" w:eastAsia="ru-RU" w:bidi="ru-RU"/>
        </w:rPr>
        <w:t>п</w:t>
      </w:r>
      <w:r>
        <w:rPr>
          <w:lang w:val="ru-RU" w:eastAsia="ru-RU" w:bidi="ru-RU"/>
          <w:w w:val="100"/>
          <w:spacing w:val="0"/>
          <w:color w:val="000000"/>
          <w:position w:val="0"/>
        </w:rPr>
        <w:t>унктов «в», «г» пункта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3"/>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 в том числе линейный объект, за исключением автомобильной дороги.</w:t>
      </w:r>
    </w:p>
    <w:p>
      <w:pPr>
        <w:pStyle w:val="Style3"/>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контракт, предусмотренный частью 16.1 статьи 34 Закона о контрактной системе; контракт, предусмотренный частью 56 статьи 112 Закона о контрактной системе; договор, не относящийся к контрактам, указанным в абзацах втором - четвертом подпункта «г» пункта 31 Положения,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заседании Комиссии установлено, что объектом закупки является «Капитальный ремонт стадиона с устройством универсальной спортивной площадки на территории МОУ СОШ №4 по адресу Тверская область, р-н Бежецкий. г.Бежецк пер .Первомайский д.35/7-а.на земельном участке 69:37:0070326:33».</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При этом в рамках Детализирующих показателей Критерия к оценке принимаются исключительно исполненный договор (договоры), </w:t>
      </w:r>
      <w:r>
        <w:rPr>
          <w:rStyle w:val="CharStyle23"/>
        </w:rPr>
        <w:t>предусматривающий выполнение работ по</w:t>
      </w:r>
      <w:r>
        <w:rPr>
          <w:rStyle w:val="CharStyle24"/>
          <w:lang w:val="ru-RU" w:eastAsia="ru-RU" w:bidi="ru-RU"/>
        </w:rPr>
        <w:t xml:space="preserve"> </w:t>
      </w:r>
      <w:r>
        <w:rPr>
          <w:rStyle w:val="CharStyle23"/>
        </w:rPr>
        <w:t>ремонту</w:t>
      </w:r>
      <w:r>
        <w:rPr>
          <w:rStyle w:val="CharStyle13"/>
          <w:lang w:val="ru-RU" w:eastAsia="ru-RU" w:bidi="ru-RU"/>
        </w:rPr>
        <w:t>,</w:t>
      </w:r>
      <w:r>
        <w:rPr>
          <w:lang w:val="ru-RU" w:eastAsia="ru-RU" w:bidi="ru-RU"/>
          <w:w w:val="100"/>
          <w:spacing w:val="0"/>
          <w:color w:val="000000"/>
          <w:position w:val="0"/>
        </w:rPr>
        <w:t xml:space="preserve"> капитальному ремонту, строительству, реконструкции объектов капитального строительства.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учитывая, что предметом контракта является выполнение работ по капитальному ремонту, установление требования о принятии к оценке договоров, предусматривающих выполнение работ по ремонту объектов капитального строительства, противоречит абзацу 5 подпункта «г» пункта 31 Положения.</w:t>
      </w:r>
    </w:p>
    <w:p>
      <w:pPr>
        <w:pStyle w:val="Style3"/>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Заказчик пояснил, что при формировании порядка оценки допущена техническая ошибка. Учитывая изложенное, Комиссия приходит к выводу, что вышеуказанное действие Заказчика, Уполномоченного органа нарушает пункт 11 части 1 статьи 42 Закона о контрактной системе и содержит признаки административного правонарушения, ответственность за совершение которого предусмотрена частью 4 статьи 7.30 КоАП РФ.</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 поскольку порядок оценки не применялся в связи с тем, что на участие в Конкурсе подана только одна заявка.</w:t>
      </w:r>
    </w:p>
    <w:p>
      <w:pPr>
        <w:pStyle w:val="Style3"/>
        <w:numPr>
          <w:ilvl w:val="0"/>
          <w:numId w:val="5"/>
        </w:numPr>
        <w:tabs>
          <w:tab w:leader="none" w:pos="1034"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42,49, 54 и 59 части 1 статьи 93 Закона о контрактной системе, заказчик устанавливает следующие единые требования к участникам закупки, в том числе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 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заседании Комиссии установлено, что объектом закупки является капитальный ремонт стадиона с устройством универсальной спортивной площадки.</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изучив положения Извещения о проведении Конкурса, Комиссия приходит к выводу, что Извещение о проведении Конкурса не содержит требования к участнику закупки о членстве в саморегулируемой организации в сфере строительства, реконструкции, капитального ремонта, сноса объектов капитального строительства.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Заказчик пояснил, что требования к участнику закупки о членстве в саморегулируемой организации не остановлены ошибочно.</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победителем в составе заявки приложена Выписка из Реестра членов саморегулируемой организации.</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вышеуказанные действия Заказчика нарушают пункт 1 части 1 статьи 31 Закона о контрактной системе, что содержит признаки состава административного правонарушения, предусмотренного частью 4.2 статьи 7.30 КоАП РФ.</w:t>
      </w:r>
    </w:p>
    <w:p>
      <w:pPr>
        <w:pStyle w:val="Style3"/>
        <w:numPr>
          <w:ilvl w:val="0"/>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Учитывая изложенное, в случае если проектно-сметная документация содержит указание на товарный знак, знак обслуживания, фирменное наименование, патент, полезную модель, промышленный образец, наименование страны происхождения товара, то заказчик в описании объекта закупки с целью соблюдения положений Закона о контрактной системе должен установить условие о возможности использования эквивалентного товара.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Локальном сметном расчёте (смете) № ЛС-07-01-03 содержится указание на товарный знак - Светильник светодиодный </w:t>
      </w:r>
      <w:r>
        <w:rPr>
          <w:lang w:val="en-US" w:eastAsia="en-US" w:bidi="en-US"/>
          <w:w w:val="100"/>
          <w:spacing w:val="0"/>
          <w:color w:val="000000"/>
          <w:position w:val="0"/>
        </w:rPr>
        <w:t xml:space="preserve">GALAD </w:t>
      </w:r>
      <w:r>
        <w:rPr>
          <w:lang w:val="ru-RU" w:eastAsia="ru-RU" w:bidi="ru-RU"/>
          <w:w w:val="100"/>
          <w:spacing w:val="0"/>
          <w:color w:val="000000"/>
          <w:position w:val="0"/>
        </w:rPr>
        <w:t xml:space="preserve">Победа </w:t>
      </w:r>
      <w:r>
        <w:rPr>
          <w:lang w:val="en-US" w:eastAsia="en-US" w:bidi="en-US"/>
          <w:w w:val="100"/>
          <w:spacing w:val="0"/>
          <w:color w:val="000000"/>
          <w:position w:val="0"/>
        </w:rPr>
        <w:t xml:space="preserve">LED-100-UIE2/K50, </w:t>
      </w:r>
      <w:r>
        <w:rPr>
          <w:lang w:val="ru-RU" w:eastAsia="ru-RU" w:bidi="ru-RU"/>
          <w:w w:val="100"/>
          <w:spacing w:val="0"/>
          <w:color w:val="000000"/>
          <w:position w:val="0"/>
        </w:rPr>
        <w:t>при этом нет указания на возможность поставки эквивалентного товара.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Представитель Уполномоченного органа на заседании Комиссии пояснил=, что требования к товарным знакам в локально-сметных расчетах установлены в соответствии с разработанной проектной документацией.</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Комиссией установлено, что положениями Извещения не предусмотрена возможность использования эквивалентного товара при выполнении работ по государственному контракту.</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действия Заказчика, Уполномоченного органа, установивших в описании объекта закупки товарные знаки без сопровождения словами «или эквивалент», нарушают пункт 1 части 1 статьи 33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КоАП РФ.</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При этом участник закупки, при направлении заявки, выразил согласие на оказание услуг на условиях, предусмотренных Конкурсом.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w:t>
      </w:r>
    </w:p>
    <w:p>
      <w:pPr>
        <w:pStyle w:val="Style3"/>
        <w:numPr>
          <w:ilvl w:val="0"/>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 силу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Закона о контрактной системе, за исключением случаев, если:</w:t>
      </w:r>
    </w:p>
    <w:p>
      <w:pPr>
        <w:pStyle w:val="Style3"/>
        <w:numPr>
          <w:ilvl w:val="0"/>
          <w:numId w:val="9"/>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иной срок оплаты установлен законодательством Российской Федерации;</w:t>
      </w:r>
    </w:p>
    <w:p>
      <w:pPr>
        <w:pStyle w:val="Style3"/>
        <w:numPr>
          <w:ilvl w:val="0"/>
          <w:numId w:val="9"/>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частью 7 статьи 94 Закона о контрактной системе;</w:t>
      </w:r>
    </w:p>
    <w:p>
      <w:pPr>
        <w:pStyle w:val="Style3"/>
        <w:numPr>
          <w:ilvl w:val="0"/>
          <w:numId w:val="9"/>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w:t>
      </w:r>
    </w:p>
    <w:p>
      <w:pPr>
        <w:pStyle w:val="Style3"/>
        <w:numPr>
          <w:ilvl w:val="0"/>
          <w:numId w:val="11"/>
        </w:numPr>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 xml:space="preserve"> приемке, предусмотренного частью 7 статьи 94 Закона о контрактной системе;</w:t>
      </w:r>
    </w:p>
    <w:p>
      <w:pPr>
        <w:pStyle w:val="Style3"/>
        <w:numPr>
          <w:ilvl w:val="0"/>
          <w:numId w:val="9"/>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пунктом 1.1 проекта контракта .по контракту Заказчик поручает, а Подрядчик принимает на себя обязательство в установленный контрактом срок выполнить весь комплекс работ по капитальному ремонту стадиона с устройством универсальной спортивной площадки на территории МОУ СОШ №4 по адресу: Тверская обл., р-н Бежецкий, г. Бежецк, пер. Первомайский, д. 35/7-а, на земельном участке № 69:37:0070326:33 (далее - объект), в соответствии с техническим заданием (Приложение № 1 к контракту).</w:t>
      </w:r>
    </w:p>
    <w:p>
      <w:pPr>
        <w:pStyle w:val="Style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Техническим заданием оплата производится за фактически выполненные объемы работ исполнения контракта на основании подписанного Сторонами документа о приемке выполненных работ (Акта о приемке выполненных работ) в единой информационной системе (далее - ЕИС), счета/счета-фактуры с приложением документации, подтверждающей объем выполненных работ, в течение 15 (пятнадцати) рабочих дней со дня подписания Заказчиком документа о приемке выполненных работ.</w:t>
      </w:r>
    </w:p>
    <w:p>
      <w:pPr>
        <w:pStyle w:val="Style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пунктом 2.6 проекта контракта оплата производится за фактически выполненные объемы работ отдельных этапов исполнения контракта на основании подписанного Сторонами документа о приемке выполненных работ (Акта о приемке выполненных работ) по этапу исполнения контракта в единой информационной системе (далее - ЕИС), счета/счета- фактуры с приложением документации, подтверждающей объем выполненных работ, в течение 7 (семи) рабочих дней со дня подписания Заказчиком документа о приемке выполненных работ (Акта выполненных работ).</w:t>
      </w:r>
    </w:p>
    <w:p>
      <w:pPr>
        <w:pStyle w:val="Style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Заказчик пояснил, что в соответствии с законодательством срок оплаты по контрактам с</w:t>
      </w:r>
    </w:p>
    <w:p>
      <w:pPr>
        <w:pStyle w:val="Style3"/>
        <w:numPr>
          <w:ilvl w:val="0"/>
          <w:numId w:val="13"/>
        </w:numPr>
        <w:tabs>
          <w:tab w:leader="none" w:pos="1241" w:val="left"/>
        </w:tabs>
        <w:widowControl w:val="0"/>
        <w:keepNext w:val="0"/>
        <w:keepLines w:val="0"/>
        <w:shd w:val="clear" w:color="auto" w:fill="auto"/>
        <w:bidi w:val="0"/>
        <w:spacing w:before="0" w:after="0" w:line="274" w:lineRule="exact"/>
        <w:ind w:left="40" w:right="20" w:firstLine="0"/>
      </w:pPr>
      <w:r>
        <w:rPr>
          <w:lang w:val="ru-RU" w:eastAsia="ru-RU" w:bidi="ru-RU"/>
          <w:w w:val="100"/>
          <w:spacing w:val="0"/>
          <w:color w:val="000000"/>
          <w:position w:val="0"/>
        </w:rPr>
        <w:t>устанавливается в количестве 7 дней. В техническом задании допущена техническая ошибка (15 дней).</w:t>
      </w:r>
    </w:p>
    <w:p>
      <w:pPr>
        <w:pStyle w:val="Style3"/>
        <w:widowControl w:val="0"/>
        <w:keepNext w:val="0"/>
        <w:keepLines w:val="0"/>
        <w:shd w:val="clear" w:color="auto" w:fill="auto"/>
        <w:bidi w:val="0"/>
        <w:spacing w:before="0" w:after="236" w:line="274" w:lineRule="exact"/>
        <w:ind w:left="40" w:right="20" w:firstLine="720"/>
      </w:pPr>
      <w:r>
        <w:rPr>
          <w:lang w:val="ru-RU" w:eastAsia="ru-RU" w:bidi="ru-RU"/>
          <w:w w:val="100"/>
          <w:spacing w:val="0"/>
          <w:color w:val="000000"/>
          <w:position w:val="0"/>
        </w:rPr>
        <w:t>Таким образом, вышеуказанные действия заказчика не соответствуют требованиям части 13.1. статьи 34 Закона о контрактной системе, что содержит признаки состава административного правонарушения, ответственность за совершение, которого предусмотрена частью 4.2 статьи 7.30 КоАП РФ.</w:t>
      </w:r>
    </w:p>
    <w:p>
      <w:pPr>
        <w:pStyle w:val="Style3"/>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pPr>
        <w:pStyle w:val="Style21"/>
        <w:widowControl w:val="0"/>
        <w:keepNext/>
        <w:keepLines/>
        <w:shd w:val="clear" w:color="auto" w:fill="auto"/>
        <w:bidi w:val="0"/>
        <w:jc w:val="left"/>
        <w:spacing w:before="0" w:after="244" w:line="278" w:lineRule="exact"/>
        <w:ind w:left="4720" w:right="0" w:firstLine="0"/>
      </w:pPr>
      <w:bookmarkStart w:id="6" w:name="bookmark6"/>
      <w:r>
        <w:rPr>
          <w:lang w:val="ru-RU" w:eastAsia="ru-RU" w:bidi="ru-RU"/>
          <w:w w:val="100"/>
          <w:spacing w:val="0"/>
          <w:color w:val="000000"/>
          <w:position w:val="0"/>
        </w:rPr>
        <w:t>РЕШИЛА:</w:t>
      </w:r>
      <w:bookmarkEnd w:id="6"/>
    </w:p>
    <w:p>
      <w:pPr>
        <w:pStyle w:val="Style3"/>
        <w:numPr>
          <w:ilvl w:val="0"/>
          <w:numId w:val="15"/>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Признать жалобу ООО «МД-Консалтинг» обоснованной.</w:t>
      </w:r>
    </w:p>
    <w:p>
      <w:pPr>
        <w:pStyle w:val="Style3"/>
        <w:numPr>
          <w:ilvl w:val="0"/>
          <w:numId w:val="15"/>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Признать Заказчика нарушившим требования пункта 1 части 1 статьи 31, пункта 1 части</w:t>
      </w:r>
    </w:p>
    <w:p>
      <w:pPr>
        <w:pStyle w:val="Style3"/>
        <w:numPr>
          <w:ilvl w:val="0"/>
          <w:numId w:val="11"/>
        </w:numPr>
        <w:widowControl w:val="0"/>
        <w:keepNext w:val="0"/>
        <w:keepLines w:val="0"/>
        <w:shd w:val="clear" w:color="auto" w:fill="auto"/>
        <w:bidi w:val="0"/>
        <w:spacing w:before="0" w:after="0" w:line="274" w:lineRule="exact"/>
        <w:ind w:left="40" w:right="20" w:firstLine="0"/>
      </w:pPr>
      <w:r>
        <w:rPr>
          <w:lang w:val="ru-RU" w:eastAsia="ru-RU" w:bidi="ru-RU"/>
          <w:w w:val="100"/>
          <w:spacing w:val="0"/>
          <w:color w:val="000000"/>
          <w:position w:val="0"/>
        </w:rPr>
        <w:t xml:space="preserve"> статьи 33, части 13.1. статьи 34, пункта 11 части 1 статьи 42, пункта 11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3"/>
        <w:numPr>
          <w:ilvl w:val="0"/>
          <w:numId w:val="15"/>
        </w:numPr>
        <w:widowControl w:val="0"/>
        <w:keepNext w:val="0"/>
        <w:keepLines w:val="0"/>
        <w:shd w:val="clear" w:color="auto" w:fill="auto"/>
        <w:bidi w:val="0"/>
        <w:spacing w:before="0" w:after="0" w:line="274" w:lineRule="exact"/>
        <w:ind w:left="40" w:right="20" w:firstLine="720"/>
        <w:sectPr>
          <w:footerReference w:type="default" r:id="rId7"/>
          <w:titlePg/>
          <w:footnotePr>
            <w:pos w:val="pageBottom"/>
            <w:numFmt w:val="decimal"/>
            <w:numRestart w:val="continuous"/>
          </w:footnotePr>
          <w:type w:val="continuous"/>
          <w:pgSz w:w="11909" w:h="16838"/>
          <w:pgMar w:top="852" w:left="988" w:right="966" w:bottom="587" w:header="0" w:footer="3" w:gutter="0"/>
          <w:rtlGutter w:val="0"/>
          <w:cols w:space="720"/>
          <w:noEndnote/>
          <w:docGrid w:linePitch="360"/>
        </w:sectPr>
      </w:pPr>
      <w:r>
        <w:rPr>
          <w:lang w:val="ru-RU" w:eastAsia="ru-RU" w:bidi="ru-RU"/>
          <w:w w:val="100"/>
          <w:spacing w:val="0"/>
          <w:color w:val="000000"/>
          <w:position w:val="0"/>
        </w:rPr>
        <w:t xml:space="preserve"> Заказчику, Оператору электронной площадки обязательное для исполнения предписание об устранении нарушения законодательства Российской Федерации о контрактной системе не выдавать, в связи с выданным ранее по делу № 05-6/1-122-2022.</w:t>
      </w:r>
    </w:p>
    <w:p>
      <w:pPr>
        <w:framePr w:h="653" w:wrap="none" w:vAnchor="text" w:hAnchor="margin" w:x="3788" w:y="529"/>
        <w:widowControl w:val="0"/>
        <w:jc w:val="center"/>
        <w:rPr>
          <w:sz w:val="2"/>
          <w:szCs w:val="2"/>
        </w:rPr>
      </w:pPr>
      <w:r>
        <w:pict>
          <v:shape id="_x0000_s1028" type="#_x0000_t75" style="width:66pt;height:33pt;">
            <v:imagedata r:id="rId8" r:href="rId9"/>
          </v:shape>
        </w:pict>
      </w:r>
    </w:p>
    <w:tbl>
      <w:tblPr>
        <w:tblOverlap w:val="never"/>
        <w:tblLayout w:type="fixed"/>
        <w:jc w:val="center"/>
      </w:tblPr>
      <w:tblGrid>
        <w:gridCol w:w="658"/>
        <w:gridCol w:w="370"/>
        <w:gridCol w:w="1531"/>
      </w:tblGrid>
      <w:tr>
        <w:trPr>
          <w:trHeight w:val="317" w:hRule="exact"/>
        </w:trPr>
        <w:tc>
          <w:tcPr>
            <w:shd w:val="clear" w:color="auto" w:fill="FFFFFF"/>
            <w:tcBorders>
              <w:top w:val="single" w:sz="4"/>
            </w:tcBorders>
            <w:vAlign w:val="top"/>
          </w:tcPr>
          <w:p>
            <w:pPr>
              <w:framePr w:w="2558" w:wrap="none" w:vAnchor="text" w:hAnchor="margin" w:x="4124" w:y="1067"/>
              <w:widowControl w:val="0"/>
              <w:rPr>
                <w:sz w:val="10"/>
                <w:szCs w:val="10"/>
              </w:rPr>
            </w:pPr>
          </w:p>
        </w:tc>
        <w:tc>
          <w:tcPr>
            <w:shd w:val="clear" w:color="auto" w:fill="FFFFFF"/>
            <w:tcBorders>
              <w:top w:val="single" w:sz="4"/>
            </w:tcBorders>
            <w:vAlign w:val="top"/>
          </w:tcPr>
          <w:p>
            <w:pPr>
              <w:framePr w:w="2558" w:wrap="none" w:vAnchor="text" w:hAnchor="margin" w:x="4124" w:y="1067"/>
              <w:widowControl w:val="0"/>
              <w:rPr>
                <w:sz w:val="10"/>
                <w:szCs w:val="10"/>
              </w:rPr>
            </w:pPr>
          </w:p>
        </w:tc>
        <w:tc>
          <w:tcPr>
            <w:shd w:val="clear" w:color="auto" w:fill="FFFFFF"/>
            <w:tcBorders>
              <w:left w:val="single" w:sz="4"/>
              <w:top w:val="single" w:sz="4"/>
            </w:tcBorders>
            <w:vAlign w:val="top"/>
          </w:tcPr>
          <w:p>
            <w:pPr>
              <w:pStyle w:val="Style3"/>
              <w:framePr w:w="2558" w:wrap="none" w:vAnchor="text" w:hAnchor="margin" w:x="4124" w:y="1067"/>
              <w:widowControl w:val="0"/>
              <w:keepNext w:val="0"/>
              <w:keepLines w:val="0"/>
              <w:shd w:val="clear" w:color="auto" w:fill="auto"/>
              <w:bidi w:val="0"/>
              <w:jc w:val="left"/>
              <w:spacing w:before="0" w:after="0" w:line="600" w:lineRule="exact"/>
              <w:ind w:left="20" w:right="0" w:firstLine="0"/>
            </w:pPr>
            <w:r>
              <w:rPr>
                <w:rStyle w:val="CharStyle25"/>
                <w:spacing w:val="-40"/>
              </w:rPr>
              <w:t>ьшяхг/</w:t>
            </w:r>
          </w:p>
        </w:tc>
      </w:tr>
      <w:tr>
        <w:trPr>
          <w:trHeight w:val="312" w:hRule="exact"/>
        </w:trPr>
        <w:tc>
          <w:tcPr>
            <w:shd w:val="clear" w:color="auto" w:fill="FFFFFF"/>
            <w:tcBorders>
              <w:top w:val="single" w:sz="4"/>
              <w:bottom w:val="single" w:sz="4"/>
            </w:tcBorders>
            <w:vAlign w:val="top"/>
          </w:tcPr>
          <w:p>
            <w:pPr>
              <w:framePr w:w="2558" w:wrap="none" w:vAnchor="text" w:hAnchor="margin" w:x="4124" w:y="1067"/>
              <w:widowControl w:val="0"/>
              <w:rPr>
                <w:sz w:val="10"/>
                <w:szCs w:val="10"/>
              </w:rPr>
            </w:pPr>
          </w:p>
        </w:tc>
        <w:tc>
          <w:tcPr>
            <w:shd w:val="clear" w:color="auto" w:fill="FFFFFF"/>
            <w:gridSpan w:val="2"/>
            <w:tcBorders>
              <w:top w:val="single" w:sz="4"/>
              <w:bottom w:val="single" w:sz="4"/>
            </w:tcBorders>
            <w:vAlign w:val="top"/>
          </w:tcPr>
          <w:p>
            <w:pPr>
              <w:framePr w:w="2558" w:wrap="none" w:vAnchor="text" w:hAnchor="margin" w:x="4124" w:y="1067"/>
              <w:widowControl w:val="0"/>
              <w:rPr>
                <w:sz w:val="10"/>
                <w:szCs w:val="10"/>
              </w:rPr>
            </w:pPr>
          </w:p>
        </w:tc>
      </w:tr>
    </w:tbl>
    <w:p>
      <w:pPr>
        <w:pStyle w:val="Style3"/>
        <w:framePr w:w="2014" w:h="220" w:wrap="none" w:vAnchor="text" w:hAnchor="margin" w:x="763" w:y="1126"/>
        <w:widowControl w:val="0"/>
        <w:keepNext w:val="0"/>
        <w:keepLines w:val="0"/>
        <w:shd w:val="clear" w:color="auto" w:fill="auto"/>
        <w:bidi w:val="0"/>
        <w:jc w:val="left"/>
        <w:spacing w:before="0" w:after="0" w:line="220" w:lineRule="exact"/>
        <w:ind w:left="100" w:right="0" w:firstLine="0"/>
      </w:pPr>
      <w:r>
        <w:rPr>
          <w:rStyle w:val="CharStyle4"/>
          <w:spacing w:val="0"/>
        </w:rPr>
        <w:t>Члены Комиссии:</w:t>
      </w:r>
    </w:p>
    <w:p>
      <w:pPr>
        <w:pStyle w:val="Style3"/>
        <w:framePr w:w="10117" w:h="513" w:wrap="none" w:vAnchor="text" w:hAnchor="margin" w:x="-58" w:y="3"/>
        <w:widowControl w:val="0"/>
        <w:keepNext w:val="0"/>
        <w:keepLines w:val="0"/>
        <w:shd w:val="clear" w:color="auto" w:fill="auto"/>
        <w:bidi w:val="0"/>
        <w:jc w:val="left"/>
        <w:spacing w:before="0" w:after="0" w:line="283" w:lineRule="exact"/>
        <w:ind w:left="100" w:right="100" w:firstLine="720"/>
      </w:pPr>
      <w:r>
        <w:rPr>
          <w:rStyle w:val="CharStyle4"/>
          <w:spacing w:val="0"/>
        </w:rPr>
        <w:t>4. Передать материалы дела 05-6/1-123-2022 должностному лицу для рассмотрения</w:t>
      </w:r>
    </w:p>
    <w:p>
      <w:pPr>
        <w:pStyle w:val="Style3"/>
        <w:framePr w:w="10117" w:h="513" w:wrap="none" w:vAnchor="text" w:hAnchor="margin" w:x="-58" w:y="3"/>
        <w:widowControl w:val="0"/>
        <w:keepNext w:val="0"/>
        <w:keepLines w:val="0"/>
        <w:shd w:val="clear" w:color="auto" w:fill="auto"/>
        <w:bidi w:val="0"/>
        <w:jc w:val="left"/>
        <w:spacing w:before="0" w:after="0" w:line="283" w:lineRule="exact"/>
        <w:ind w:left="100" w:right="100" w:firstLine="0"/>
      </w:pPr>
      <w:r>
        <w:rPr>
          <w:rStyle w:val="CharStyle4"/>
          <w:spacing w:val="0"/>
        </w:rPr>
        <w:t>вопроса о возбуждении дела об административном правонарушение</w:t>
      </w:r>
    </w:p>
    <w:p>
      <w:pPr>
        <w:pStyle w:val="Style3"/>
        <w:framePr w:w="8187" w:h="518" w:wrap="none" w:vAnchor="text" w:hAnchor="margin" w:x="763" w:y="827"/>
        <w:tabs>
          <w:tab w:leader="none" w:pos="3196" w:val="right"/>
          <w:tab w:leader="none" w:pos="3546" w:val="right"/>
          <w:tab w:leader="none" w:pos="6297" w:val="right"/>
          <w:tab w:leader="none" w:pos="6436" w:val="left"/>
        </w:tabs>
        <w:widowControl w:val="0"/>
        <w:keepNext w:val="0"/>
        <w:keepLines w:val="0"/>
        <w:shd w:val="clear" w:color="auto" w:fill="auto"/>
        <w:bidi w:val="0"/>
        <w:spacing w:before="0" w:after="3" w:line="220" w:lineRule="exact"/>
        <w:ind w:left="100" w:right="0" w:firstLine="0"/>
      </w:pPr>
      <w:r>
        <w:rPr>
          <w:rStyle w:val="CharStyle4"/>
          <w:spacing w:val="0"/>
        </w:rPr>
        <w:t>Председатель Комиссии:</w:t>
        <w:tab/>
        <w:t>\</w:t>
        <w:tab/>
      </w:r>
      <w:r>
        <w:rPr>
          <w:rStyle w:val="CharStyle26"/>
          <w:spacing w:val="0"/>
        </w:rPr>
        <w:t>\</w:t>
      </w:r>
      <w:r>
        <w:rPr>
          <w:rStyle w:val="CharStyle4"/>
          <w:spacing w:val="0"/>
        </w:rPr>
        <w:tab/>
        <w:t>—</w:t>
        <w:tab/>
        <w:t>А.В. Павленко</w:t>
      </w:r>
    </w:p>
    <w:p>
      <w:pPr>
        <w:pStyle w:val="Style3"/>
        <w:framePr w:w="8187" w:h="518" w:wrap="none" w:vAnchor="text" w:hAnchor="margin" w:x="763" w:y="827"/>
        <w:widowControl w:val="0"/>
        <w:keepNext w:val="0"/>
        <w:keepLines w:val="0"/>
        <w:shd w:val="clear" w:color="auto" w:fill="auto"/>
        <w:bidi w:val="0"/>
        <w:jc w:val="right"/>
        <w:spacing w:before="0" w:after="0" w:line="220" w:lineRule="exact"/>
        <w:ind w:left="0" w:right="100" w:firstLine="0"/>
      </w:pPr>
      <w:r>
        <w:rPr>
          <w:rStyle w:val="CharStyle4"/>
          <w:spacing w:val="0"/>
        </w:rPr>
        <w:t>П.Д. Винницкая</w:t>
      </w:r>
    </w:p>
    <w:p>
      <w:pPr>
        <w:pStyle w:val="Style3"/>
        <w:framePr w:w="1472" w:h="224" w:wrap="none" w:vAnchor="text" w:hAnchor="margin" w:x="7099" w:y="1443"/>
        <w:widowControl w:val="0"/>
        <w:keepNext w:val="0"/>
        <w:keepLines w:val="0"/>
        <w:shd w:val="clear" w:color="auto" w:fill="auto"/>
        <w:bidi w:val="0"/>
        <w:jc w:val="left"/>
        <w:spacing w:before="0" w:after="0" w:line="220" w:lineRule="exact"/>
        <w:ind w:left="100" w:right="0" w:firstLine="0"/>
      </w:pPr>
      <w:r>
        <w:rPr>
          <w:rStyle w:val="CharStyle4"/>
          <w:spacing w:val="0"/>
        </w:rPr>
        <w:t>К.О. Улупов</w:t>
      </w:r>
    </w:p>
    <w:p>
      <w:pPr>
        <w:framePr w:h="566" w:wrap="none" w:vAnchor="text" w:hAnchor="margin" w:x="6726" w:y="260"/>
        <w:widowControl w:val="0"/>
        <w:jc w:val="center"/>
        <w:rPr>
          <w:sz w:val="2"/>
          <w:szCs w:val="2"/>
        </w:rPr>
      </w:pPr>
      <w:r>
        <w:pict>
          <v:shape id="_x0000_s1029" type="#_x0000_t75" style="width:32pt;height:28pt;">
            <v:imagedata r:id="rId10" r:href="rId11"/>
          </v:shape>
        </w:pict>
      </w:r>
    </w:p>
    <w:p>
      <w:pPr>
        <w:pStyle w:val="Style3"/>
        <w:framePr w:w="10107" w:h="566" w:wrap="none" w:vAnchor="text" w:hAnchor="margin" w:x="-58" w:y="1959"/>
        <w:widowControl w:val="0"/>
        <w:keepNext w:val="0"/>
        <w:keepLines w:val="0"/>
        <w:shd w:val="clear" w:color="auto" w:fill="auto"/>
        <w:bidi w:val="0"/>
        <w:jc w:val="left"/>
        <w:spacing w:before="0" w:after="0" w:line="283" w:lineRule="exact"/>
        <w:ind w:left="100" w:right="100" w:firstLine="720"/>
      </w:pPr>
      <w:r>
        <w:rPr>
          <w:rStyle w:val="CharStyle4"/>
          <w:spacing w:val="0"/>
        </w:rPr>
        <w:t>Настоящее решение может быть обжаловано в судебном порядке в течение трех месяцев со дня его принятия.</w:t>
      </w:r>
    </w:p>
    <w:p>
      <w:pPr>
        <w:pStyle w:val="Style27"/>
        <w:framePr w:w="1362" w:h="374" w:wrap="none" w:vAnchor="text" w:hAnchor="margin" w:x="633" w:y="14447"/>
        <w:widowControl w:val="0"/>
        <w:keepNext w:val="0"/>
        <w:keepLines w:val="0"/>
        <w:shd w:val="clear" w:color="auto" w:fill="auto"/>
        <w:bidi w:val="0"/>
        <w:spacing w:before="0" w:after="0"/>
        <w:ind w:left="100" w:right="160" w:firstLine="0"/>
      </w:pPr>
      <w:r>
        <w:rPr>
          <w:lang w:val="ru-RU" w:eastAsia="ru-RU" w:bidi="ru-RU"/>
          <w:w w:val="100"/>
          <w:spacing w:val="0"/>
          <w:color w:val="000000"/>
          <w:position w:val="0"/>
        </w:rPr>
        <w:t xml:space="preserve">Винницкая П.Д. </w:t>
      </w:r>
      <w:r>
        <w:rPr>
          <w:rStyle w:val="CharStyle29"/>
        </w:rPr>
        <w:t>8</w:t>
      </w:r>
      <w:r>
        <w:rPr>
          <w:rStyle w:val="CharStyle30"/>
        </w:rPr>
        <w:t xml:space="preserve"> (</w:t>
      </w:r>
      <w:r>
        <w:rPr>
          <w:rStyle w:val="CharStyle29"/>
        </w:rPr>
        <w:t>4822</w:t>
      </w:r>
      <w:r>
        <w:rPr>
          <w:rStyle w:val="CharStyle30"/>
        </w:rPr>
        <w:t xml:space="preserve">) </w:t>
      </w:r>
      <w:r>
        <w:rPr>
          <w:rStyle w:val="CharStyle29"/>
        </w:rPr>
        <w:t>34</w:t>
      </w:r>
      <w:r>
        <w:rPr>
          <w:rStyle w:val="CharStyle30"/>
        </w:rPr>
        <w:t>-</w:t>
      </w:r>
      <w:r>
        <w:rPr>
          <w:rStyle w:val="CharStyle29"/>
        </w:rPr>
        <w:t>24-31</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77" w:lineRule="exact"/>
      </w:pPr>
    </w:p>
    <w:p>
      <w:pPr>
        <w:widowControl w:val="0"/>
        <w:rPr>
          <w:sz w:val="2"/>
          <w:szCs w:val="2"/>
        </w:rPr>
      </w:pPr>
    </w:p>
    <w:sectPr>
      <w:footerReference w:type="default" r:id="rId12"/>
      <w:pgSz w:w="11909" w:h="16838"/>
      <w:pgMar w:top="743" w:left="955" w:right="955" w:bottom="987"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39.85pt;margin-top:817.3pt;width:4.3pt;height:7.45pt;z-index:-188744064;mso-wrap-style:none;mso-wrap-distance-left:5.pt;mso-wrap-distance-right:5.pt;mso-position-horizontal-relative:page;mso-position-vertical-relative:page" wrapcoords="0 0" filled="f" stroked="f">
          <v:textbox style="mso-fit-shape-to-text:t" inset="0,0,0,0">
            <w:txbxContent>
              <w:p>
                <w:pPr>
                  <w:pStyle w:val="Style18"/>
                  <w:widowControl w:val="0"/>
                  <w:keepNext w:val="0"/>
                  <w:keepLines w:val="0"/>
                  <w:shd w:val="clear" w:color="auto" w:fill="auto"/>
                  <w:bidi w:val="0"/>
                  <w:jc w:val="left"/>
                  <w:spacing w:before="0" w:after="0" w:line="240" w:lineRule="auto"/>
                  <w:ind w:left="0" w:right="0" w:firstLine="0"/>
                </w:pPr>
                <w:fldSimple w:instr=" PAGE \* MERGEFORMAT ">
                  <w:r>
                    <w:rPr>
                      <w:rStyle w:val="CharStyle20"/>
                    </w:rPr>
                    <w:t>#</w:t>
                  </w:r>
                </w:fldSimple>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540.pt;margin-top:796.3pt;width:4.55pt;height:7.2pt;z-index:-188744063;mso-wrap-style:none;mso-wrap-distance-left:5.pt;mso-wrap-distance-right:5.pt;mso-position-horizontal-relative:page;mso-position-vertical-relative:page" wrapcoords="0 0" filled="f" stroked="f">
          <v:textbox style="mso-fit-shape-to-text:t" inset="0,0,0,0">
            <w:txbxContent>
              <w:p>
                <w:pPr>
                  <w:pStyle w:val="Style18"/>
                  <w:widowControl w:val="0"/>
                  <w:keepNext w:val="0"/>
                  <w:keepLines w:val="0"/>
                  <w:shd w:val="clear" w:color="auto" w:fill="auto"/>
                  <w:bidi w:val="0"/>
                  <w:jc w:val="left"/>
                  <w:spacing w:before="0" w:after="0" w:line="240" w:lineRule="auto"/>
                  <w:ind w:left="0" w:right="0" w:firstLine="0"/>
                </w:pPr>
                <w:fldSimple w:instr=" PAGE \* MERGEFORMAT ">
                  <w:r>
                    <w:rPr>
                      <w:rStyle w:val="CharStyle20"/>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8.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0"/>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22"/>
      <w:numFmt w:val="decimal"/>
      <w:lvlText w:val="01.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5">
    <w:name w:val="Основной текст Exact"/>
    <w:basedOn w:val="CharStyle12"/>
    <w:rPr>
      <w:sz w:val="22"/>
      <w:szCs w:val="22"/>
      <w:spacing w:val="-1"/>
    </w:rPr>
  </w:style>
  <w:style w:type="character" w:customStyle="1" w:styleId="CharStyle6">
    <w:name w:val="Основной текст Exact"/>
    <w:basedOn w:val="CharStyle12"/>
    <w:rPr>
      <w:u w:val="single"/>
      <w:sz w:val="22"/>
      <w:szCs w:val="22"/>
      <w:spacing w:val="-1"/>
    </w:rPr>
  </w:style>
  <w:style w:type="character" w:customStyle="1" w:styleId="CharStyle8">
    <w:name w:val="Основной текст (3) Exact"/>
    <w:basedOn w:val="DefaultParagraphFont"/>
    <w:link w:val="Style7"/>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9">
    <w:name w:val="Основной текст (3)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w:basedOn w:val="CharStyle12"/>
    <w:rPr>
      <w:lang w:val="en-US" w:eastAsia="en-US" w:bidi="en-US"/>
      <w:u w:val="single"/>
      <w:w w:val="100"/>
      <w:spacing w:val="0"/>
      <w:color w:val="000000"/>
      <w:position w:val="0"/>
    </w:rPr>
  </w:style>
  <w:style w:type="character" w:customStyle="1" w:styleId="CharStyle15">
    <w:name w:val="Заголовок №3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7">
    <w:name w:val="Заголовок №1_"/>
    <w:basedOn w:val="DefaultParagraphFont"/>
    <w:link w:val="Style16"/>
    <w:rPr>
      <w:b/>
      <w:bCs/>
      <w:i w:val="0"/>
      <w:iCs w:val="0"/>
      <w:u w:val="none"/>
      <w:strike w:val="0"/>
      <w:smallCaps w:val="0"/>
      <w:sz w:val="34"/>
      <w:szCs w:val="34"/>
      <w:rFonts w:ascii="Times New Roman" w:eastAsia="Times New Roman" w:hAnsi="Times New Roman" w:cs="Times New Roman"/>
      <w:spacing w:val="40"/>
    </w:rPr>
  </w:style>
  <w:style w:type="character" w:customStyle="1" w:styleId="CharStyle19">
    <w:name w:val="Колонтитул_"/>
    <w:basedOn w:val="DefaultParagraphFont"/>
    <w:link w:val="Style18"/>
    <w:rPr>
      <w:b w:val="0"/>
      <w:bCs w:val="0"/>
      <w:i w:val="0"/>
      <w:iCs w:val="0"/>
      <w:u w:val="none"/>
      <w:strike w:val="0"/>
      <w:smallCaps w:val="0"/>
      <w:sz w:val="18"/>
      <w:szCs w:val="18"/>
      <w:rFonts w:ascii="Tahoma" w:eastAsia="Tahoma" w:hAnsi="Tahoma" w:cs="Tahoma"/>
    </w:rPr>
  </w:style>
  <w:style w:type="character" w:customStyle="1" w:styleId="CharStyle20">
    <w:name w:val="Колонтитул"/>
    <w:basedOn w:val="CharStyle19"/>
    <w:rPr>
      <w:lang w:val="ru-RU" w:eastAsia="ru-RU" w:bidi="ru-RU"/>
      <w:w w:val="100"/>
      <w:spacing w:val="0"/>
      <w:color w:val="000000"/>
      <w:position w:val="0"/>
    </w:rPr>
  </w:style>
  <w:style w:type="character" w:customStyle="1" w:styleId="CharStyle22">
    <w:name w:val="Заголовок №2_"/>
    <w:basedOn w:val="DefaultParagraphFont"/>
    <w:link w:val="Style21"/>
    <w:rPr>
      <w:b/>
      <w:bCs/>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 Курсив"/>
    <w:basedOn w:val="CharStyle12"/>
    <w:rPr>
      <w:lang w:val="ru-RU" w:eastAsia="ru-RU" w:bidi="ru-RU"/>
      <w:i/>
      <w:iCs/>
      <w:u w:val="single"/>
      <w:w w:val="100"/>
      <w:spacing w:val="0"/>
      <w:color w:val="000000"/>
      <w:position w:val="0"/>
    </w:rPr>
  </w:style>
  <w:style w:type="character" w:customStyle="1" w:styleId="CharStyle24">
    <w:name w:val="Основной текст + Курсив"/>
    <w:basedOn w:val="CharStyle12"/>
    <w:rPr>
      <w:lang w:val="1024"/>
      <w:i/>
      <w:iCs/>
      <w:w w:val="100"/>
      <w:spacing w:val="0"/>
      <w:color w:val="000000"/>
      <w:position w:val="0"/>
    </w:rPr>
  </w:style>
  <w:style w:type="character" w:customStyle="1" w:styleId="CharStyle25">
    <w:name w:val="Основной текст + 30 pt,Курсив,Интервал -1 pt"/>
    <w:basedOn w:val="CharStyle12"/>
    <w:rPr>
      <w:lang w:val="ru-RU" w:eastAsia="ru-RU" w:bidi="ru-RU"/>
      <w:i/>
      <w:iCs/>
      <w:sz w:val="60"/>
      <w:szCs w:val="60"/>
      <w:w w:val="100"/>
      <w:spacing w:val="-36"/>
      <w:color w:val="000000"/>
      <w:position w:val="0"/>
    </w:rPr>
  </w:style>
  <w:style w:type="character" w:customStyle="1" w:styleId="CharStyle26">
    <w:name w:val="Основной текст Exact"/>
    <w:basedOn w:val="CharStyle12"/>
    <w:rPr>
      <w:lang w:val="ru-RU" w:eastAsia="ru-RU" w:bidi="ru-RU"/>
      <w:u w:val="single"/>
      <w:sz w:val="22"/>
      <w:szCs w:val="22"/>
      <w:w w:val="100"/>
      <w:spacing w:val="-1"/>
      <w:color w:val="000000"/>
      <w:position w:val="0"/>
    </w:rPr>
  </w:style>
  <w:style w:type="character" w:customStyle="1" w:styleId="CharStyle28">
    <w:name w:val="Основной текст (4) Exact"/>
    <w:basedOn w:val="DefaultParagraphFont"/>
    <w:link w:val="Style27"/>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29">
    <w:name w:val="Основной текст (4) + Интервал 0 pt Exact"/>
    <w:basedOn w:val="CharStyle28"/>
    <w:rPr>
      <w:lang w:val="ru-RU" w:eastAsia="ru-RU" w:bidi="ru-RU"/>
      <w:w w:val="100"/>
      <w:spacing w:val="0"/>
      <w:color w:val="000000"/>
      <w:position w:val="0"/>
    </w:rPr>
  </w:style>
  <w:style w:type="character" w:customStyle="1" w:styleId="CharStyle30">
    <w:name w:val="Основной текст (4) + Полужирный,Интервал 0 pt Exact"/>
    <w:basedOn w:val="CharStyle28"/>
    <w:rPr>
      <w:lang w:val="ru-RU" w:eastAsia="ru-RU" w:bidi="ru-RU"/>
      <w:b/>
      <w:bCs/>
      <w:w w:val="100"/>
      <w:spacing w:val="0"/>
      <w:color w:val="000000"/>
      <w:position w:val="0"/>
    </w:rPr>
  </w:style>
  <w:style w:type="paragraph" w:customStyle="1" w:styleId="Style3">
    <w:name w:val="Основной текст"/>
    <w:basedOn w:val="Normal"/>
    <w:link w:val="CharStyle12"/>
    <w:pPr>
      <w:widowControl w:val="0"/>
      <w:shd w:val="clear" w:color="auto" w:fill="FFFFFF"/>
      <w:jc w:val="both"/>
      <w:spacing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600" w:line="226" w:lineRule="exact"/>
    </w:pPr>
    <w:rPr>
      <w:b w:val="0"/>
      <w:bCs w:val="0"/>
      <w:i w:val="0"/>
      <w:iCs w:val="0"/>
      <w:u w:val="none"/>
      <w:strike w:val="0"/>
      <w:smallCaps w:val="0"/>
      <w:sz w:val="18"/>
      <w:szCs w:val="18"/>
      <w:rFonts w:ascii="Times New Roman" w:eastAsia="Times New Roman" w:hAnsi="Times New Roman" w:cs="Times New Roman"/>
      <w:spacing w:val="-4"/>
    </w:rPr>
  </w:style>
  <w:style w:type="paragraph" w:customStyle="1" w:styleId="Style10">
    <w:name w:val="Основной текст (2)"/>
    <w:basedOn w:val="Normal"/>
    <w:link w:val="CharStyle11"/>
    <w:pPr>
      <w:widowControl w:val="0"/>
      <w:shd w:val="clear" w:color="auto" w:fill="FFFFFF"/>
      <w:jc w:val="both"/>
      <w:spacing w:line="278" w:lineRule="exact"/>
      <w:ind w:firstLine="2320"/>
    </w:pPr>
    <w:rPr>
      <w:b/>
      <w:bCs/>
      <w:i w:val="0"/>
      <w:iCs w:val="0"/>
      <w:u w:val="none"/>
      <w:strike w:val="0"/>
      <w:smallCaps w:val="0"/>
      <w:sz w:val="23"/>
      <w:szCs w:val="23"/>
      <w:rFonts w:ascii="Times New Roman" w:eastAsia="Times New Roman" w:hAnsi="Times New Roman" w:cs="Times New Roman"/>
    </w:rPr>
  </w:style>
  <w:style w:type="paragraph" w:customStyle="1" w:styleId="Style14">
    <w:name w:val="Заголовок №3"/>
    <w:basedOn w:val="Normal"/>
    <w:link w:val="CharStyle15"/>
    <w:pPr>
      <w:widowControl w:val="0"/>
      <w:shd w:val="clear" w:color="auto" w:fill="FFFFFF"/>
      <w:jc w:val="both"/>
      <w:outlineLvl w:val="2"/>
      <w:spacing w:before="24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before="240" w:line="0" w:lineRule="exact"/>
    </w:pPr>
    <w:rPr>
      <w:b/>
      <w:bCs/>
      <w:i w:val="0"/>
      <w:iCs w:val="0"/>
      <w:u w:val="none"/>
      <w:strike w:val="0"/>
      <w:smallCaps w:val="0"/>
      <w:sz w:val="34"/>
      <w:szCs w:val="34"/>
      <w:rFonts w:ascii="Times New Roman" w:eastAsia="Times New Roman" w:hAnsi="Times New Roman" w:cs="Times New Roman"/>
      <w:spacing w:val="40"/>
    </w:rPr>
  </w:style>
  <w:style w:type="paragraph" w:customStyle="1" w:styleId="Style18">
    <w:name w:val="Колонтитул"/>
    <w:basedOn w:val="Normal"/>
    <w:link w:val="CharStyle19"/>
    <w:pPr>
      <w:widowControl w:val="0"/>
      <w:shd w:val="clear" w:color="auto" w:fill="FFFFFF"/>
      <w:spacing w:line="0" w:lineRule="exact"/>
    </w:pPr>
    <w:rPr>
      <w:b w:val="0"/>
      <w:bCs w:val="0"/>
      <w:i w:val="0"/>
      <w:iCs w:val="0"/>
      <w:u w:val="none"/>
      <w:strike w:val="0"/>
      <w:smallCaps w:val="0"/>
      <w:sz w:val="18"/>
      <w:szCs w:val="18"/>
      <w:rFonts w:ascii="Tahoma" w:eastAsia="Tahoma" w:hAnsi="Tahoma" w:cs="Tahoma"/>
    </w:rPr>
  </w:style>
  <w:style w:type="paragraph" w:customStyle="1" w:styleId="Style21">
    <w:name w:val="Заголовок №2"/>
    <w:basedOn w:val="Normal"/>
    <w:link w:val="CharStyle22"/>
    <w:pPr>
      <w:widowControl w:val="0"/>
      <w:shd w:val="clear" w:color="auto" w:fill="FFFFFF"/>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jc w:val="both"/>
      <w:spacing w:line="182" w:lineRule="exact"/>
    </w:pPr>
    <w:rPr>
      <w:b w:val="0"/>
      <w:bCs w:val="0"/>
      <w:i w:val="0"/>
      <w:iCs w:val="0"/>
      <w:u w:val="none"/>
      <w:strike w:val="0"/>
      <w:smallCaps w:val="0"/>
      <w:sz w:val="14"/>
      <w:szCs w:val="14"/>
      <w:rFonts w:ascii="Times New Roman" w:eastAsia="Times New Roman" w:hAnsi="Times New Roman" w:cs="Times New Roman"/>
      <w:spacing w:val="2"/>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png"/><Relationship Id="rId11" Type="http://schemas.openxmlformats.org/officeDocument/2006/relationships/image" Target="media/image3.png" TargetMode="External"/><Relationship Id="rId12"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