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2"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3"/>
        <w:numPr>
          <w:ilvl w:val="0"/>
          <w:numId w:val="1"/>
        </w:numPr>
        <w:tabs>
          <w:tab w:leader="none" w:pos="378" w:val="left"/>
        </w:tabs>
        <w:widowControl w:val="0"/>
        <w:keepNext w:val="0"/>
        <w:keepLines w:val="0"/>
        <w:shd w:val="clear" w:color="auto" w:fill="auto"/>
        <w:bidi w:val="0"/>
        <w:spacing w:before="0" w:after="357" w:line="260" w:lineRule="exact"/>
        <w:ind w:left="20" w:right="0" w:firstLine="0"/>
      </w:pPr>
      <w:r>
        <w:rPr>
          <w:lang w:val="ru-RU" w:eastAsia="ru-RU" w:bidi="ru-RU"/>
          <w:w w:val="100"/>
          <w:spacing w:val="0"/>
          <w:color w:val="000000"/>
          <w:position w:val="0"/>
        </w:rPr>
        <w:t>ИП Мачин А. Ю.</w:t>
      </w:r>
    </w:p>
    <w:p>
      <w:pPr>
        <w:pStyle w:val="Style3"/>
        <w:widowControl w:val="0"/>
        <w:keepNext w:val="0"/>
        <w:keepLines w:val="0"/>
        <w:shd w:val="clear" w:color="auto" w:fill="auto"/>
        <w:bidi w:val="0"/>
        <w:spacing w:before="0" w:after="362" w:line="260" w:lineRule="exact"/>
        <w:ind w:left="20" w:right="0" w:firstLine="0"/>
      </w:pPr>
      <w:r>
        <w:rPr>
          <w:lang w:val="ru-RU" w:eastAsia="ru-RU" w:bidi="ru-RU"/>
          <w:w w:val="100"/>
          <w:spacing w:val="0"/>
          <w:color w:val="000000"/>
          <w:position w:val="0"/>
        </w:rPr>
        <w:t>119454, г. Москва, Коштоянца ул., д.6-417</w:t>
      </w:r>
    </w:p>
    <w:p>
      <w:pPr>
        <w:pStyle w:val="Style3"/>
        <w:widowControl w:val="0"/>
        <w:keepNext w:val="0"/>
        <w:keepLines w:val="0"/>
        <w:shd w:val="clear" w:color="auto" w:fill="auto"/>
        <w:bidi w:val="0"/>
        <w:spacing w:before="0" w:after="352" w:line="260" w:lineRule="exact"/>
        <w:ind w:left="20" w:right="0" w:firstLine="0"/>
      </w:pPr>
      <w:r>
        <w:fldChar w:fldCharType="begin"/>
      </w:r>
      <w:r>
        <w:rPr>
          <w:color w:val="000000"/>
        </w:rPr>
        <w:instrText> HYPERLINK "mailto:6423890@mail.ru" </w:instrText>
      </w:r>
      <w:r>
        <w:fldChar w:fldCharType="separate"/>
      </w:r>
      <w:r>
        <w:rPr>
          <w:rStyle w:val="Hyperlink"/>
          <w:lang w:val="en-US" w:eastAsia="en-US" w:bidi="en-US"/>
          <w:w w:val="100"/>
          <w:spacing w:val="0"/>
          <w:position w:val="0"/>
        </w:rPr>
        <w:t>6423890@mail.ru</w:t>
      </w:r>
      <w:r>
        <w:fldChar w:fldCharType="end"/>
      </w:r>
    </w:p>
    <w:p>
      <w:pPr>
        <w:pStyle w:val="Style3"/>
        <w:numPr>
          <w:ilvl w:val="0"/>
          <w:numId w:val="1"/>
        </w:numPr>
        <w:tabs>
          <w:tab w:leader="none" w:pos="402" w:val="left"/>
        </w:tabs>
        <w:widowControl w:val="0"/>
        <w:keepNext w:val="0"/>
        <w:keepLines w:val="0"/>
        <w:shd w:val="clear" w:color="auto" w:fill="auto"/>
        <w:bidi w:val="0"/>
        <w:spacing w:before="0" w:after="42" w:line="260" w:lineRule="exact"/>
        <w:ind w:left="20" w:right="0" w:firstLine="0"/>
      </w:pPr>
      <w:r>
        <w:rPr>
          <w:lang w:val="ru-RU" w:eastAsia="ru-RU" w:bidi="ru-RU"/>
          <w:w w:val="100"/>
          <w:spacing w:val="0"/>
          <w:color w:val="000000"/>
          <w:position w:val="0"/>
        </w:rPr>
        <w:t>ГБУ социальный дом «Вешняки»</w:t>
      </w:r>
    </w:p>
    <w:p>
      <w:pPr>
        <w:pStyle w:val="Style3"/>
        <w:widowControl w:val="0"/>
        <w:keepNext w:val="0"/>
        <w:keepLines w:val="0"/>
        <w:shd w:val="clear" w:color="auto" w:fill="auto"/>
        <w:bidi w:val="0"/>
        <w:jc w:val="left"/>
        <w:spacing w:before="0" w:after="0" w:line="648" w:lineRule="exact"/>
        <w:ind w:left="20" w:right="1240" w:firstLine="0"/>
      </w:pPr>
      <w:r>
        <w:rPr>
          <w:lang w:val="ru-RU" w:eastAsia="ru-RU" w:bidi="ru-RU"/>
          <w:w w:val="100"/>
          <w:spacing w:val="0"/>
          <w:color w:val="000000"/>
          <w:position w:val="0"/>
        </w:rPr>
        <w:t xml:space="preserve">111538, г. Москва, ул. Косинская, 8 </w:t>
      </w:r>
      <w:r>
        <w:fldChar w:fldCharType="begin"/>
      </w:r>
      <w:r>
        <w:rPr>
          <w:color w:val="000000"/>
        </w:rPr>
        <w:instrText> HYPERLINK "mailto:pni26-gz@social.mos.ru" </w:instrText>
      </w:r>
      <w:r>
        <w:fldChar w:fldCharType="separate"/>
      </w:r>
      <w:r>
        <w:rPr>
          <w:rStyle w:val="Hyperlink"/>
          <w:lang w:val="en-US" w:eastAsia="en-US" w:bidi="en-US"/>
          <w:w w:val="100"/>
          <w:spacing w:val="0"/>
          <w:position w:val="0"/>
        </w:rPr>
        <w:t>pni26-gz@social.mos.ru</w:t>
      </w:r>
      <w:r>
        <w:fldChar w:fldCharType="end"/>
      </w:r>
    </w:p>
    <w:p>
      <w:pPr>
        <w:pStyle w:val="Style3"/>
        <w:numPr>
          <w:ilvl w:val="0"/>
          <w:numId w:val="1"/>
        </w:numPr>
        <w:tabs>
          <w:tab w:leader="none" w:pos="398" w:val="left"/>
        </w:tabs>
        <w:widowControl w:val="0"/>
        <w:keepNext w:val="0"/>
        <w:keepLines w:val="0"/>
        <w:shd w:val="clear" w:color="auto" w:fill="auto"/>
        <w:bidi w:val="0"/>
        <w:spacing w:before="0" w:after="352" w:line="260" w:lineRule="exact"/>
        <w:ind w:left="2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362" w:line="260" w:lineRule="exact"/>
        <w:ind w:left="4840" w:right="0" w:firstLine="0"/>
      </w:pPr>
      <w:r>
        <w:rPr>
          <w:lang w:val="ru-RU" w:eastAsia="ru-RU" w:bidi="ru-RU"/>
          <w:w w:val="100"/>
          <w:spacing w:val="0"/>
          <w:color w:val="000000"/>
          <w:position w:val="0"/>
        </w:rPr>
        <w:t>115114, Москва, ул Кожевническая 14, стр. 5</w:t>
      </w:r>
    </w:p>
    <w:p>
      <w:pPr>
        <w:pStyle w:val="Style3"/>
        <w:widowControl w:val="0"/>
        <w:keepNext w:val="0"/>
        <w:keepLines w:val="0"/>
        <w:shd w:val="clear" w:color="auto" w:fill="auto"/>
        <w:bidi w:val="0"/>
        <w:jc w:val="left"/>
        <w:spacing w:before="0" w:after="838" w:line="260" w:lineRule="exact"/>
        <w:ind w:left="4840" w:right="0" w:firstLine="0"/>
      </w:pP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pStyle w:val="Style8"/>
        <w:tabs>
          <w:tab w:leader="none" w:pos="9116" w:val="right"/>
          <w:tab w:leader="none" w:pos="10172" w:val="right"/>
        </w:tabs>
        <w:widowControl w:val="0"/>
        <w:keepNext w:val="0"/>
        <w:keepLines w:val="0"/>
        <w:shd w:val="clear" w:color="auto" w:fill="auto"/>
        <w:bidi w:val="0"/>
        <w:jc w:val="left"/>
        <w:spacing w:before="0" w:after="0"/>
        <w:ind w:left="20" w:right="20" w:firstLine="4340"/>
      </w:pPr>
      <w:r>
        <w:rPr>
          <w:lang w:val="ru-RU" w:eastAsia="ru-RU" w:bidi="ru-RU"/>
          <w:w w:val="100"/>
          <w:spacing w:val="0"/>
          <w:color w:val="000000"/>
          <w:position w:val="0"/>
        </w:rPr>
        <w:t>РЕШЕНИЕ по делу № 077/06/106-11728/2022 о нарушении законодательства о контрактной системе 08.08.2022</w:t>
        <w:tab/>
        <w:t>г.</w:t>
        <w:tab/>
        <w:t>Москва</w:t>
      </w:r>
    </w:p>
    <w:p>
      <w:pPr>
        <w:pStyle w:val="Style3"/>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Члена Комиссии:</w:t>
      </w:r>
    </w:p>
    <w:p>
      <w:pPr>
        <w:pStyle w:val="Style3"/>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tabs>
          <w:tab w:leader="none" w:pos="606"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Н.С. Лушниковой,</w:t>
      </w:r>
    </w:p>
    <w:p>
      <w:pPr>
        <w:pStyle w:val="Style3"/>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3"/>
        <w:tabs>
          <w:tab w:leader="none" w:pos="591"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при участии ИП Мачина А. Ю.; представителей ГБУ социальный дом «Вешняки»: Сорокатома Ю.Л. (по доверенности №126 от 05.08.2022), Майорова И.В. (по доверенности №127 от 05.08.2022),</w:t>
      </w:r>
    </w:p>
    <w:p>
      <w:pPr>
        <w:pStyle w:val="Style3"/>
        <w:widowControl w:val="0"/>
        <w:keepNext w:val="0"/>
        <w:keepLines w:val="0"/>
        <w:shd w:val="clear" w:color="auto" w:fill="auto"/>
        <w:bidi w:val="0"/>
        <w:spacing w:before="0" w:after="176" w:line="322" w:lineRule="exact"/>
        <w:ind w:left="20" w:right="20" w:firstLine="680"/>
      </w:pPr>
      <w:r>
        <w:rPr>
          <w:lang w:val="ru-RU" w:eastAsia="ru-RU" w:bidi="ru-RU"/>
          <w:w w:val="100"/>
          <w:spacing w:val="0"/>
          <w:color w:val="000000"/>
          <w:position w:val="0"/>
        </w:rPr>
        <w:t>рассмотрев жалобу ИП Мачин А. Ю. (далее — Заявитель) на действия ГБУ социальный дом «Вешняки» (далее — Заказчик) при проведении запроса</w:t>
      </w:r>
    </w:p>
    <w:p>
      <w:pPr>
        <w:pStyle w:val="Style10"/>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000577509288</w:t>
      </w:r>
      <w:r>
        <w:br w:type="page"/>
      </w:r>
    </w:p>
    <w:p>
      <w:pPr>
        <w:pStyle w:val="Style3"/>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котировок в электронной форме на право заключения государственного контракта на текущий ремонт электроснабжения в здании ГБУ Социальный дом «Вешняки» (Закупка № 0373200117722000015) (далее - запрос котировок),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2"/>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запроса котировок.</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Заявитель обжалует действия Заказчика, выразившиеся в признании заявки Заявителя несоответствующей.</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№ЕИ/40615/22 от 04.08.2022</w:t>
      </w:r>
      <w:r>
        <w:rPr>
          <w:rStyle w:val="CharStyle14"/>
        </w:rPr>
        <w:t xml:space="preserve">, </w:t>
      </w:r>
      <w:r>
        <w:rPr>
          <w:lang w:val="ru-RU" w:eastAsia="ru-RU" w:bidi="ru-RU"/>
          <w:w w:val="100"/>
          <w:spacing w:val="0"/>
          <w:color w:val="000000"/>
          <w:position w:val="0"/>
        </w:rPr>
        <w:t>Комиссия Управления установила следующее.</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01.08.2022 №ИЗК1 заявка Заявителя (идентификационный номер 4) признана несоответствующей на основании: «Предлагаемый к монтажу ВРУ не соответствует сметной документации, а именно ВРУ в составе 4 панелей «Техэнерго» (Страна происхождения: Россия) не является эквивалентом ВРУ в составе 4 панелей АВВ: приложение к протоколу».</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п.1,3 ч.2 ст.42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Закона о контрактной системе,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3"/>
        <w:tabs>
          <w:tab w:leader="none" w:pos="8750" w:val="right"/>
          <w:tab w:leader="none" w:pos="10162" w:val="right"/>
        </w:tabs>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Комиссией Управления установлено, что Заказчиком в технической части котировочной документации (Приложение 1 к Техническому заданию) определены требования к выполнению работ по текущему ремонту объекта социально-реабилитационного назначения, в частности:</w:t>
        <w:tab/>
        <w:t>Вид</w:t>
        <w:tab/>
        <w:t>объекта:</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Помещение. Элемент, подлежащий текущему ремонту: Сеть электроснабжения; Электрооборудование.</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 xml:space="preserve">Кроме того, Техническое задание содержит Приложение 3 «Сметная документация», в которой установлены характеристики к товарам, в частности: ВРУ в составе 4 панелей (Панель вводная 2шт, Панель распределительная - 2шт. Комплектация: Корпус АВВ 2000х450х600мм ВРУ-2 с кожухом для рубильника - 2шт., Корпус АВВ 2000х450х600мм ВРУ-1 - 2шт., Шинные мосты медные - 2шт., Автомат ХТ21С 160 - 125А - 2шт., ХТ21С 160, С100А - 1шт., </w:t>
      </w:r>
      <w:r>
        <w:rPr>
          <w:lang w:val="en-US" w:eastAsia="en-US" w:bidi="en-US"/>
          <w:w w:val="100"/>
          <w:spacing w:val="0"/>
          <w:color w:val="000000"/>
          <w:position w:val="0"/>
        </w:rPr>
        <w:t xml:space="preserve">S803C- </w:t>
      </w:r>
      <w:r>
        <w:rPr>
          <w:lang w:val="ru-RU" w:eastAsia="ru-RU" w:bidi="ru-RU"/>
          <w:w w:val="100"/>
          <w:spacing w:val="0"/>
          <w:color w:val="000000"/>
          <w:position w:val="0"/>
        </w:rPr>
        <w:t>80А, 25кА — 4шт.</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Согласно ч.1 ст.50 Закона о контрактной системе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составе заявки Заявителем представлены, в частности, следующие сведения: «ВРУ в составе 4 панелей «Техэнерго» (Страна происхождения: Россия): (Панель вводная 2шт, Панель распределительная — 2шт. Комплектация: Корпус «Техэнерго» 2000х450х600мм ВРУ-2 с кожухом для рубильника - 2шт., Корпус «Техэнерго» 2000х450х600мм ВРУ-1 — 2шт.».</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силу ч.4 ст.106 Закона о контрактной системе участник закупки, подав</w:t>
      </w:r>
      <w:r>
        <w:rPr>
          <w:rStyle w:val="CharStyle15"/>
        </w:rPr>
        <w:t>ши</w:t>
      </w:r>
      <w:r>
        <w:rPr>
          <w:lang w:val="ru-RU" w:eastAsia="ru-RU" w:bidi="ru-RU"/>
          <w:w w:val="100"/>
          <w:spacing w:val="0"/>
          <w:color w:val="000000"/>
          <w:position w:val="0"/>
        </w:rPr>
        <w:t>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3"/>
        <w:tabs>
          <w:tab w:leader="none" w:pos="10162" w:val="right"/>
        </w:tabs>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На заседании Комиссии Управления Заявитель пояснил, что котировочная Комиссия отклонила заявку за несоответствие характеристик товара, которые не установлены в документации о закупке, в частности:</w:t>
        <w:tab/>
        <w:t>«Автоматический</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выключатель: ХТ21С 160, С125А=2 шт.; ХТ21С 160, С100А=1шт; S-80803С-80А, 25кА=4 шт.», согласно приложению к протоколу подведения итогов определения поставщика (подрядчика, исполнителя) №0373200117722000015 от 01.08.2022.</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На заседании Комиссии Управления представители Заказчика пояснили, что устанавливать требования к характеристикам товаров, работ и услуг является прерогативой Заказчика. В Приложении №1 к Техническому заданию (ТЗ) Локальная Смета №1 в п. 10 Заказчиком установлена комплектация Вводных и распределительных панелей вводно-распределительного устройства: «ВРУ: 4 панели (Панель вводная 2шт, Панель распределительная - 2шт.) Комплектация: Корпус АВВ 2000х450х600мм ВРУ-2 с кожухом для рубильника - 2шт., Корпус</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 xml:space="preserve">АВВ 2000х450х600мм ВРУ-1 - 2шт., Шинные мосты медные - 2шт., Автомат ХТ21С 160 - 125А - 2шт., ХТ21С 160, С100А - 1шт., </w:t>
      </w:r>
      <w:r>
        <w:rPr>
          <w:lang w:val="en-US" w:eastAsia="en-US" w:bidi="en-US"/>
          <w:w w:val="100"/>
          <w:spacing w:val="0"/>
          <w:color w:val="000000"/>
          <w:position w:val="0"/>
        </w:rPr>
        <w:t xml:space="preserve">S803C- </w:t>
      </w:r>
      <w:r>
        <w:rPr>
          <w:lang w:val="ru-RU" w:eastAsia="ru-RU" w:bidi="ru-RU"/>
          <w:w w:val="100"/>
          <w:spacing w:val="0"/>
          <w:color w:val="000000"/>
          <w:position w:val="0"/>
        </w:rPr>
        <w:t xml:space="preserve">80А, 25кА - 4шт., </w:t>
      </w:r>
      <w:r>
        <w:rPr>
          <w:lang w:val="en-US" w:eastAsia="en-US" w:bidi="en-US"/>
          <w:w w:val="100"/>
          <w:spacing w:val="0"/>
          <w:color w:val="000000"/>
          <w:position w:val="0"/>
        </w:rPr>
        <w:t xml:space="preserve">S803C- </w:t>
      </w:r>
      <w:r>
        <w:rPr>
          <w:lang w:val="ru-RU" w:eastAsia="ru-RU" w:bidi="ru-RU"/>
          <w:w w:val="100"/>
          <w:spacing w:val="0"/>
          <w:color w:val="000000"/>
          <w:position w:val="0"/>
        </w:rPr>
        <w:t xml:space="preserve">63А, 25кА - 2шт., </w:t>
      </w:r>
      <w:r>
        <w:rPr>
          <w:lang w:val="en-US" w:eastAsia="en-US" w:bidi="en-US"/>
          <w:w w:val="100"/>
          <w:spacing w:val="0"/>
          <w:color w:val="000000"/>
          <w:position w:val="0"/>
        </w:rPr>
        <w:t xml:space="preserve">S803C- </w:t>
      </w:r>
      <w:r>
        <w:rPr>
          <w:lang w:val="ru-RU" w:eastAsia="ru-RU" w:bidi="ru-RU"/>
          <w:w w:val="100"/>
          <w:spacing w:val="0"/>
          <w:color w:val="000000"/>
          <w:position w:val="0"/>
        </w:rPr>
        <w:t xml:space="preserve">50А , 25кА- 2шт., </w:t>
      </w:r>
      <w:r>
        <w:rPr>
          <w:lang w:val="en-US" w:eastAsia="en-US" w:bidi="en-US"/>
          <w:w w:val="100"/>
          <w:spacing w:val="0"/>
          <w:color w:val="000000"/>
          <w:position w:val="0"/>
        </w:rPr>
        <w:t xml:space="preserve">S803C- </w:t>
      </w:r>
      <w:r>
        <w:rPr>
          <w:lang w:val="ru-RU" w:eastAsia="ru-RU" w:bidi="ru-RU"/>
          <w:w w:val="100"/>
          <w:spacing w:val="0"/>
          <w:color w:val="000000"/>
          <w:position w:val="0"/>
        </w:rPr>
        <w:t xml:space="preserve">40А, 25кА - 2шт., </w:t>
      </w:r>
      <w:r>
        <w:rPr>
          <w:lang w:val="en-US" w:eastAsia="en-US" w:bidi="en-US"/>
          <w:w w:val="100"/>
          <w:spacing w:val="0"/>
          <w:color w:val="000000"/>
          <w:position w:val="0"/>
        </w:rPr>
        <w:t xml:space="preserve">S203 </w:t>
      </w:r>
      <w:r>
        <w:rPr>
          <w:lang w:val="ru-RU" w:eastAsia="ru-RU" w:bidi="ru-RU"/>
          <w:w w:val="100"/>
          <w:spacing w:val="0"/>
          <w:color w:val="000000"/>
          <w:position w:val="0"/>
        </w:rPr>
        <w:t xml:space="preserve">- С32А, 18кА - 4шт., </w:t>
      </w:r>
      <w:r>
        <w:rPr>
          <w:lang w:val="en-US" w:eastAsia="en-US" w:bidi="en-US"/>
          <w:w w:val="100"/>
          <w:spacing w:val="0"/>
          <w:color w:val="000000"/>
          <w:position w:val="0"/>
        </w:rPr>
        <w:t xml:space="preserve">S201, </w:t>
      </w:r>
      <w:r>
        <w:rPr>
          <w:lang w:val="ru-RU" w:eastAsia="ru-RU" w:bidi="ru-RU"/>
          <w:w w:val="100"/>
          <w:spacing w:val="0"/>
          <w:color w:val="000000"/>
          <w:position w:val="0"/>
        </w:rPr>
        <w:t xml:space="preserve">С16А, 6кА- 4шт., комплект Шин медных 35х4 мм "Ноль" и "Земля", Реверсивный рубильник 3-пол. 250А (с ручкой и переходником) </w:t>
      </w:r>
      <w:r>
        <w:rPr>
          <w:lang w:val="en-US" w:eastAsia="en-US" w:bidi="en-US"/>
          <w:w w:val="100"/>
          <w:spacing w:val="0"/>
          <w:color w:val="000000"/>
          <w:position w:val="0"/>
        </w:rPr>
        <w:t xml:space="preserve">ABB </w:t>
      </w:r>
      <w:r>
        <w:rPr>
          <w:lang w:val="ru-RU" w:eastAsia="ru-RU" w:bidi="ru-RU"/>
          <w:w w:val="100"/>
          <w:spacing w:val="0"/>
          <w:color w:val="000000"/>
          <w:position w:val="0"/>
        </w:rPr>
        <w:t>- 2шт., Конденсаторы 4,7МоМ - 6шт.)» или эквивалент.</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Кроме того, представители Заказчика пояснили, что согласно Техническому Заданию, участник закупки должен установить ВРУ, в комплектацию которого входит вышеуказанное оборудование либо эквивалент с параметрами устройств аналогичными, либо не хуже, либо лучше, чем у бренда АВВ. Однако Участник предложил Заказчику поставить оборудование по параметрам хуже, чем в Локальной смете №1.</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заседании Комиссией Управления установлено, что из положений технического задания не следует, что участникам закупки необходимо указывать характеристики к товарам в рамках данной закупки.</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Кроме того, заявка Заявителя отклонена котировочной Комиссией Заказчика на основании предоставления характеристик товаров в соответствии с Локальной сметой, которая служит обоснованием начальной (максимальной) цены контракта и не является документом, согласно которому участник закупки должен предоставлять характеристики товаров, работ и услуг.</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Комиссия Управления отмечает, что в целях исключения какого-либо субъективного правоусмотрения при разрешении вопроса о допуске той или иной заявки к участию в закупке документация должна содержать в себе четкие, исчерпывающие требования к участникам, подающим заявки на участие в закупке.</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пп. «а»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 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п.2 ч.12 ст.48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Таким образом, рассмотрев представленные документы и сведения, Комиссия Управления приходит к выводу, что решение комиссии Заказчика о признании заявки ИП Мачин А. Ю. не соответствующей положениям извещения о проведении запроса котировок по основаниям, изложенным в протоколе подведения итогов, нарушает положения пп. «а» п.1 ч.3 ст.50 Закона о контрактной системе, что содержит признаки состава административного правонарушения, ответственность за которое предусмотрена ч.6 ст.7.30 КоАП Кодекса Российской Федерации об административных правонарушениях.</w:t>
      </w:r>
    </w:p>
    <w:p>
      <w:pPr>
        <w:pStyle w:val="Style3"/>
        <w:widowControl w:val="0"/>
        <w:keepNext w:val="0"/>
        <w:keepLines w:val="0"/>
        <w:shd w:val="clear" w:color="auto" w:fill="auto"/>
        <w:bidi w:val="0"/>
        <w:jc w:val="left"/>
        <w:spacing w:before="0" w:after="0" w:line="326" w:lineRule="exact"/>
        <w:ind w:left="0" w:right="20" w:firstLine="540"/>
      </w:pPr>
      <w:r>
        <w:rPr>
          <w:lang w:val="ru-RU" w:eastAsia="ru-RU" w:bidi="ru-RU"/>
          <w:w w:val="100"/>
          <w:spacing w:val="0"/>
          <w:color w:val="000000"/>
          <w:position w:val="0"/>
        </w:rPr>
        <w:t>Исследовав представленные материалы, руководствуясь Административным</w:t>
      </w:r>
      <w:r>
        <w:rPr>
          <w:lang w:val="ru-RU" w:eastAsia="ru-RU" w:bidi="ru-RU"/>
          <w:w w:val="100"/>
          <w:spacing w:val="0"/>
          <w:color w:val="000000"/>
          <w:position w:val="0"/>
        </w:rPr>
        <w:t xml:space="preserve"> </w:t>
      </w:r>
      <w:r>
        <w:rPr>
          <w:lang w:val="ru-RU" w:eastAsia="ru-RU" w:bidi="ru-RU"/>
          <w:w w:val="100"/>
          <w:spacing w:val="0"/>
          <w:color w:val="000000"/>
          <w:position w:val="0"/>
        </w:rPr>
        <w:t>регламентом, Законом о контрактной системе, Комиссия Управления</w:t>
      </w:r>
    </w:p>
    <w:p>
      <w:pPr>
        <w:pStyle w:val="Style8"/>
        <w:widowControl w:val="0"/>
        <w:keepNext w:val="0"/>
        <w:keepLines w:val="0"/>
        <w:shd w:val="clear" w:color="auto" w:fill="auto"/>
        <w:bidi w:val="0"/>
        <w:jc w:val="center"/>
        <w:spacing w:before="0" w:after="0" w:line="326" w:lineRule="exact"/>
        <w:ind w:left="20" w:right="0" w:firstLine="0"/>
      </w:pPr>
      <w:r>
        <w:rPr>
          <w:rStyle w:val="CharStyle16"/>
          <w:b/>
          <w:bCs/>
        </w:rPr>
        <w:t>РЕШИЛА:</w:t>
      </w:r>
    </w:p>
    <w:p>
      <w:pPr>
        <w:pStyle w:val="Style3"/>
        <w:numPr>
          <w:ilvl w:val="0"/>
          <w:numId w:val="3"/>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Признать жалобу ИП Мачин А. Ю. на действия котировочной комиссии ГБУ социальный дом «Вешняки» обоснованной.</w:t>
      </w:r>
    </w:p>
    <w:p>
      <w:pPr>
        <w:pStyle w:val="Style3"/>
        <w:numPr>
          <w:ilvl w:val="0"/>
          <w:numId w:val="3"/>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Признать в действиях комиссии нарушение пп. «а» п.1 ч.3 ст.50 Закона о контрактной системе.</w:t>
      </w:r>
    </w:p>
    <w:p>
      <w:pPr>
        <w:pStyle w:val="Style3"/>
        <w:numPr>
          <w:ilvl w:val="0"/>
          <w:numId w:val="3"/>
        </w:numPr>
        <w:widowControl w:val="0"/>
        <w:keepNext w:val="0"/>
        <w:keepLines w:val="0"/>
        <w:shd w:val="clear" w:color="auto" w:fill="auto"/>
        <w:bidi w:val="0"/>
        <w:spacing w:before="0" w:after="0" w:line="317" w:lineRule="exact"/>
        <w:ind w:left="0" w:right="2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numPr>
          <w:ilvl w:val="0"/>
          <w:numId w:val="3"/>
        </w:numPr>
        <w:widowControl w:val="0"/>
        <w:keepNext w:val="0"/>
        <w:keepLines w:val="0"/>
        <w:shd w:val="clear" w:color="auto" w:fill="auto"/>
        <w:bidi w:val="0"/>
        <w:spacing w:before="0" w:after="296" w:line="317"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spacing w:before="0" w:after="643" w:line="322"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9120" w:val="right"/>
          <w:tab w:leader="none" w:pos="10183"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Председательствующий</w:t>
        <w:tab/>
        <w:t>С.И.</w:t>
        <w:tab/>
        <w:t>Казарин</w:t>
      </w:r>
    </w:p>
    <w:p>
      <w:pPr>
        <w:pStyle w:val="Style3"/>
        <w:tabs>
          <w:tab w:leader="none" w:pos="8765" w:val="right"/>
          <w:tab w:leader="none" w:pos="10183"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Члены Комиссии</w:t>
        <w:tab/>
        <w:t>Н.С.</w:t>
        <w:tab/>
        <w:t>Лушникова</w:t>
      </w:r>
    </w:p>
    <w:p>
      <w:pPr>
        <w:pStyle w:val="Style3"/>
        <w:widowControl w:val="0"/>
        <w:keepNext w:val="0"/>
        <w:keepLines w:val="0"/>
        <w:shd w:val="clear" w:color="auto" w:fill="auto"/>
        <w:bidi w:val="0"/>
        <w:jc w:val="right"/>
        <w:spacing w:before="0" w:after="2599" w:line="643" w:lineRule="exact"/>
        <w:ind w:left="0" w:right="20" w:firstLine="0"/>
      </w:pPr>
      <w:r>
        <w:rPr>
          <w:lang w:val="ru-RU" w:eastAsia="ru-RU" w:bidi="ru-RU"/>
          <w:w w:val="100"/>
          <w:spacing w:val="0"/>
          <w:color w:val="000000"/>
          <w:position w:val="0"/>
        </w:rPr>
        <w:t>М.О. Мацнева</w:t>
      </w:r>
    </w:p>
    <w:p>
      <w:pPr>
        <w:pStyle w:val="Style17"/>
        <w:widowControl w:val="0"/>
        <w:keepNext w:val="0"/>
        <w:keepLines w:val="0"/>
        <w:shd w:val="clear" w:color="auto" w:fill="auto"/>
        <w:bidi w:val="0"/>
        <w:jc w:val="left"/>
        <w:spacing w:before="0" w:after="0"/>
        <w:ind w:left="0" w:right="8400" w:firstLine="0"/>
      </w:pPr>
      <w:r>
        <w:rPr>
          <w:lang w:val="ru-RU" w:eastAsia="ru-RU" w:bidi="ru-RU"/>
          <w:w w:val="100"/>
          <w:spacing w:val="0"/>
          <w:color w:val="000000"/>
          <w:position w:val="0"/>
        </w:rPr>
        <w:t>Исп.Мацнева М.О. тел.8(495)784-75-05</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394" w:left="856" w:right="843" w:bottom="76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75pt;margin-top:807.5pt;width:56.9pt;height:7.9pt;z-index:-188744063;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2022-45385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25pt;margin-top:811.55pt;width:56.65pt;height:7.9pt;z-index:-188744062;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2022-45385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75pt;margin-top:41.65pt;width:5.3pt;height:7.9pt;z-index:-188744064;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fldSimple w:instr=" PAGE \* MERGEFORMAT ">
                  <w:r>
                    <w:rPr>
                      <w:rStyle w:val="CharStyle7"/>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Sylfaen" w:eastAsia="Sylfaen" w:hAnsi="Sylfaen" w:cs="Sylfae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Sylfaen" w:eastAsia="Sylfaen" w:hAnsi="Sylfaen" w:cs="Sylfae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Sylfaen" w:eastAsia="Sylfaen" w:hAnsi="Sylfaen" w:cs="Sylfaen"/>
    </w:rPr>
  </w:style>
  <w:style w:type="character" w:customStyle="1" w:styleId="CharStyle6">
    <w:name w:val="Колонтитул_"/>
    <w:basedOn w:val="DefaultParagraphFont"/>
    <w:link w:val="Style5"/>
    <w:rPr>
      <w:b w:val="0"/>
      <w:bCs w:val="0"/>
      <w:i w:val="0"/>
      <w:iCs w:val="0"/>
      <w:u w:val="none"/>
      <w:strike w:val="0"/>
      <w:smallCaps w:val="0"/>
      <w:sz w:val="21"/>
      <w:szCs w:val="21"/>
      <w:rFonts w:ascii="Sylfaen" w:eastAsia="Sylfaen" w:hAnsi="Sylfaen" w:cs="Sylfaen"/>
    </w:rPr>
  </w:style>
  <w:style w:type="character" w:customStyle="1" w:styleId="CharStyle7">
    <w:name w:val="Колонтитул"/>
    <w:basedOn w:val="CharStyle6"/>
    <w:rPr>
      <w:lang w:val="ru-RU" w:eastAsia="ru-RU" w:bidi="ru-RU"/>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sz w:val="26"/>
      <w:szCs w:val="26"/>
      <w:rFonts w:ascii="Sylfaen" w:eastAsia="Sylfaen" w:hAnsi="Sylfaen" w:cs="Sylfaen"/>
    </w:rPr>
  </w:style>
  <w:style w:type="character" w:customStyle="1" w:styleId="CharStyle11">
    <w:name w:val="Штрих-код (2)_"/>
    <w:basedOn w:val="DefaultParagraphFont"/>
    <w:link w:val="Style1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Sylfaen" w:eastAsia="Sylfaen" w:hAnsi="Sylfaen" w:cs="Sylfaen"/>
    </w:rPr>
  </w:style>
  <w:style w:type="character" w:customStyle="1" w:styleId="CharStyle14">
    <w:name w:val="Основной текст + Полужирный"/>
    <w:basedOn w:val="CharStyle4"/>
    <w:rPr>
      <w:lang w:val="ru-RU" w:eastAsia="ru-RU" w:bidi="ru-RU"/>
      <w:b/>
      <w:bCs/>
      <w:w w:val="100"/>
      <w:spacing w:val="0"/>
      <w:color w:val="000000"/>
      <w:position w:val="0"/>
    </w:rPr>
  </w:style>
  <w:style w:type="character" w:customStyle="1" w:styleId="CharStyle15">
    <w:name w:val="Основной текст"/>
    <w:basedOn w:val="CharStyle4"/>
    <w:rPr>
      <w:lang w:val="ru-RU" w:eastAsia="ru-RU" w:bidi="ru-RU"/>
      <w:u w:val="single"/>
      <w:w w:val="100"/>
      <w:spacing w:val="0"/>
      <w:color w:val="000000"/>
      <w:position w:val="0"/>
    </w:rPr>
  </w:style>
  <w:style w:type="character" w:customStyle="1" w:styleId="CharStyle16">
    <w:name w:val="Основной текст (2) + Интервал 3 pt"/>
    <w:basedOn w:val="CharStyle9"/>
    <w:rPr>
      <w:lang w:val="ru-RU" w:eastAsia="ru-RU" w:bidi="ru-RU"/>
      <w:w w:val="100"/>
      <w:spacing w:val="6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Sylfaen" w:eastAsia="Sylfaen" w:hAnsi="Sylfaen" w:cs="Sylfaen"/>
    </w:rPr>
  </w:style>
  <w:style w:type="paragraph" w:customStyle="1" w:styleId="Style3">
    <w:name w:val="Основной текст"/>
    <w:basedOn w:val="Normal"/>
    <w:link w:val="CharStyle4"/>
    <w:pPr>
      <w:widowControl w:val="0"/>
      <w:shd w:val="clear" w:color="auto" w:fill="FFFFFF"/>
      <w:jc w:val="both"/>
      <w:spacing w:after="420" w:line="0" w:lineRule="exact"/>
    </w:pPr>
    <w:rPr>
      <w:b w:val="0"/>
      <w:bCs w:val="0"/>
      <w:i w:val="0"/>
      <w:iCs w:val="0"/>
      <w:u w:val="none"/>
      <w:strike w:val="0"/>
      <w:smallCaps w:val="0"/>
      <w:sz w:val="26"/>
      <w:szCs w:val="26"/>
      <w:rFonts w:ascii="Sylfaen" w:eastAsia="Sylfaen" w:hAnsi="Sylfaen" w:cs="Sylfaen"/>
    </w:rPr>
  </w:style>
  <w:style w:type="paragraph" w:customStyle="1" w:styleId="Style5">
    <w:name w:val="Колонтитул"/>
    <w:basedOn w:val="Normal"/>
    <w:link w:val="CharStyle6"/>
    <w:pPr>
      <w:widowControl w:val="0"/>
      <w:shd w:val="clear" w:color="auto" w:fill="FFFFFF"/>
      <w:spacing w:line="0" w:lineRule="exact"/>
    </w:pPr>
    <w:rPr>
      <w:b w:val="0"/>
      <w:bCs w:val="0"/>
      <w:i w:val="0"/>
      <w:iCs w:val="0"/>
      <w:u w:val="none"/>
      <w:strike w:val="0"/>
      <w:smallCaps w:val="0"/>
      <w:sz w:val="21"/>
      <w:szCs w:val="21"/>
      <w:rFonts w:ascii="Sylfaen" w:eastAsia="Sylfaen" w:hAnsi="Sylfaen" w:cs="Sylfaen"/>
    </w:rPr>
  </w:style>
  <w:style w:type="paragraph" w:customStyle="1" w:styleId="Style8">
    <w:name w:val="Основной текст (2)"/>
    <w:basedOn w:val="Normal"/>
    <w:link w:val="CharStyle9"/>
    <w:pPr>
      <w:widowControl w:val="0"/>
      <w:shd w:val="clear" w:color="auto" w:fill="FFFFFF"/>
      <w:spacing w:before="960" w:line="322" w:lineRule="exact"/>
    </w:pPr>
    <w:rPr>
      <w:b/>
      <w:bCs/>
      <w:i w:val="0"/>
      <w:iCs w:val="0"/>
      <w:u w:val="none"/>
      <w:strike w:val="0"/>
      <w:smallCaps w:val="0"/>
      <w:sz w:val="26"/>
      <w:szCs w:val="26"/>
      <w:rFonts w:ascii="Sylfaen" w:eastAsia="Sylfaen" w:hAnsi="Sylfaen" w:cs="Sylfaen"/>
    </w:rPr>
  </w:style>
  <w:style w:type="paragraph" w:customStyle="1" w:styleId="Style10">
    <w:name w:val="Штрих-код (2)"/>
    <w:basedOn w:val="Normal"/>
    <w:link w:val="CharStyle1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300" w:after="420" w:line="0" w:lineRule="exact"/>
    </w:pPr>
    <w:rPr>
      <w:b/>
      <w:bCs/>
      <w:i w:val="0"/>
      <w:iCs w:val="0"/>
      <w:u w:val="none"/>
      <w:strike w:val="0"/>
      <w:smallCaps w:val="0"/>
      <w:sz w:val="26"/>
      <w:szCs w:val="26"/>
      <w:rFonts w:ascii="Sylfaen" w:eastAsia="Sylfaen" w:hAnsi="Sylfaen" w:cs="Sylfaen"/>
    </w:rPr>
  </w:style>
  <w:style w:type="paragraph" w:customStyle="1" w:styleId="Style17">
    <w:name w:val="Основной текст (3)"/>
    <w:basedOn w:val="Normal"/>
    <w:link w:val="CharStyle18"/>
    <w:pPr>
      <w:widowControl w:val="0"/>
      <w:shd w:val="clear" w:color="auto" w:fill="FFFFFF"/>
      <w:spacing w:before="2280" w:line="245" w:lineRule="exact"/>
    </w:pPr>
    <w:rPr>
      <w:b w:val="0"/>
      <w:bCs w:val="0"/>
      <w:i w:val="0"/>
      <w:iCs w:val="0"/>
      <w:u w:val="none"/>
      <w:strike w:val="0"/>
      <w:smallCaps w:val="0"/>
      <w:sz w:val="20"/>
      <w:szCs w:val="20"/>
      <w:rFonts w:ascii="Sylfaen" w:eastAsia="Sylfaen" w:hAnsi="Sylfaen" w:cs="Sylfae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