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6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7pt;height:5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46" w:left="2594" w:right="8376" w:bottom="52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81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3" w:line="23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Лермонтова, д. 14, 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«ТИМ Групп»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4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680000, край Хабаровский, г.Хабаровск, ул.Запарина, дом 82, офис 23 </w:t>
      </w:r>
      <w:r>
        <w:fldChar w:fldCharType="begin"/>
      </w:r>
      <w:r>
        <w:rPr>
          <w:rStyle w:val="CharStyle7"/>
        </w:rPr>
        <w:instrText> HYPERLINK "mailto:Timgroup27@vandex.ru" </w:instrText>
      </w:r>
      <w:r>
        <w:fldChar w:fldCharType="separate"/>
      </w:r>
      <w:r>
        <w:rPr>
          <w:rStyle w:val="Hyperlink"/>
        </w:rPr>
        <w:t>Timgroup27@vandex.ru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ГУЗ «Петровск-Забайкальская ЦРБ»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4" w:lineRule="exact"/>
        <w:ind w:left="0" w:right="0" w:firstLine="0"/>
        <w:sectPr>
          <w:type w:val="continuous"/>
          <w:pgSz w:w="11909" w:h="16838"/>
          <w:pgMar w:top="576" w:left="1366" w:right="884" w:bottom="554" w:header="0" w:footer="3" w:gutter="0"/>
          <w:rtlGutter w:val="0"/>
          <w:cols w:num="2" w:space="720" w:equalWidth="0">
            <w:col w:w="3640" w:space="1004"/>
            <w:col w:w="5015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673005, Забайкальский край, Петровск-Забайкальский р-н, Петровск-Забайкальский г, ул.Карла Маркса, 20 </w:t>
      </w:r>
      <w:r>
        <w:fldChar w:fldCharType="begin"/>
      </w:r>
      <w:r>
        <w:rPr>
          <w:color w:val="000000"/>
        </w:rPr>
        <w:instrText> HYPERLINK "mailto:crbpz-fin@mail.ru"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crbpz-fin@mail.ru</w:t>
      </w:r>
      <w:r>
        <w:fldChar w:fldCharType="end"/>
      </w:r>
    </w:p>
    <w:p>
      <w:pPr>
        <w:widowControl w:val="0"/>
        <w:spacing w:line="158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="850" w:h="338" w:wrap="around" w:hAnchor="margin" w:x="-2228" w:y="4823"/>
        <w:widowControl w:val="0"/>
        <w:rPr>
          <w:sz w:val="2"/>
          <w:szCs w:val="2"/>
        </w:rPr>
      </w:pPr>
      <w:r>
        <w:pict>
          <v:shape id="_x0000_s1028" type="#_x0000_t75" style="width:43pt;height:17pt;">
            <v:imagedata r:id="rId8" r:href="rId9"/>
          </v:shape>
        </w:pict>
      </w:r>
    </w:p>
    <w:p>
      <w:pPr>
        <w:pStyle w:val="Style8"/>
        <w:framePr w:w="1681" w:h="174" w:wrap="around" w:hAnchor="margin" w:x="-3963" w:y="495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11.06.2022 №04-03-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5"/>
        <w:framePr w:h="174" w:wrap="around" w:vAnchor="text" w:hAnchor="margin" w:x="-4747" w:y="6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10"/>
          <w:spacing w:val="0"/>
        </w:rPr>
        <w:t>На №</w:t>
      </w:r>
    </w:p>
    <w:p>
      <w:pPr>
        <w:pStyle w:val="Style5"/>
        <w:framePr w:h="169" w:wrap="around" w:vAnchor="text" w:hAnchor="margin" w:x="-2965" w:y="7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10"/>
          <w:spacing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9" w:h="16838"/>
          <w:pgMar w:top="576" w:left="6007" w:right="693" w:bottom="5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Амурская ул., д. 13, г. Чита, 672010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zabgoszakup@goszak.e-zab.ru</w:t>
      </w:r>
      <w:r>
        <w:fldChar w:fldCharType="end"/>
      </w: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60" w:firstLine="2860"/>
        <w:sectPr>
          <w:type w:val="continuous"/>
          <w:pgSz w:w="11909" w:h="16838"/>
          <w:pgMar w:top="576" w:left="2659" w:right="1806" w:bottom="5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рассмотрению жалобы №075/06/105-217/2022 о нарушении законодательства при осуществлении закупки</w:t>
      </w: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18" w:wrap="around" w:vAnchor="text" w:hAnchor="margin" w:x="48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4"/>
          <w:spacing w:val="0"/>
        </w:rPr>
        <w:t>10 августа 2022 года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10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Чита, ул. Лермонтова, 14</w:t>
      </w:r>
    </w:p>
    <w:p>
      <w:pPr>
        <w:pStyle w:val="Style13"/>
        <w:tabs>
          <w:tab w:leader="none" w:pos="8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Врио председателя комиссии Горбуновой А.В., членов комиссии:</w:t>
        <w:tab/>
        <w:t>Московской И.Т.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контроля закупок Забайкальского У ФАС России, Уваровой В.В. ведущего специалиста-эксперта отдела контроля закупок Забайкальского УФАС России,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поступившую посредством ЕИС 03.08.2022 жалобу ООО «ТИМ Групп»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ГУЗ «Петровск-Забайкальская ЦРБ», уполномоченным учреждением - ГКУ «Забайкальский центр государственных закупок» при проведении закупки «Поставка строительных материалов (00006515-ЭА)» (реестровый № </w:t>
      </w:r>
      <w:r>
        <w:rPr>
          <w:rStyle w:val="CharStyle18"/>
        </w:rPr>
        <w:t>0891200000622006072</w:t>
      </w:r>
      <w:r>
        <w:rPr>
          <w:lang w:val="ru-RU" w:eastAsia="ru-RU" w:bidi="ru-RU"/>
          <w:w w:val="100"/>
          <w:spacing w:val="0"/>
          <w:color w:val="000000"/>
          <w:position w:val="0"/>
        </w:rPr>
        <w:t>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по видеоконференцсвязи представителя уполномоченного учреждения Дьякова А.П. (доверенность от 06.12.2021 №34),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86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заявителя и заказчика (о дате, времени и месте рассмотрения жалобы уведомлены надлежащим образом),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07" w:line="220" w:lineRule="exact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numPr>
          <w:ilvl w:val="0"/>
          <w:numId w:val="1"/>
        </w:numPr>
        <w:tabs>
          <w:tab w:leader="none" w:pos="19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адрес Забайкальского УФАС России поступила жалоба ООО «ТИМ Групп» на нарушение требований Закона о контрактной системе при подведении закупки №</w:t>
      </w:r>
      <w:r>
        <w:rPr>
          <w:rStyle w:val="CharStyle18"/>
        </w:rPr>
        <w:t>0891200000622006072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не согласен с решением аукционной комиссии уполномоченного учреждения о признание его заявки не соответствующей требованиям закупочной документации.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заявитель указал, что температурный диапазон нельзя конкретизировать.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Уполномоченным учреждением представлены возражения, относительно доводов жалобы.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  <w:r>
        <w:br w:type="page"/>
      </w:r>
    </w:p>
    <w:p>
      <w:pPr>
        <w:pStyle w:val="Style13"/>
        <w:numPr>
          <w:ilvl w:val="0"/>
          <w:numId w:val="3"/>
        </w:numPr>
        <w:tabs>
          <w:tab w:leader="none" w:pos="201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учреждением для нужд заказчика в ЕИС размещены извещение и электронные документы о проведении электронного аукциона «Поставка строительных материалов (00006515-ЭА)» (реестровый № </w:t>
      </w:r>
      <w:r>
        <w:rPr>
          <w:rStyle w:val="CharStyle18"/>
        </w:rPr>
        <w:t>0891200000622006072</w:t>
      </w:r>
      <w:r>
        <w:rPr>
          <w:lang w:val="ru-RU" w:eastAsia="ru-RU" w:bidi="ru-RU"/>
          <w:w w:val="100"/>
          <w:spacing w:val="0"/>
          <w:color w:val="000000"/>
          <w:position w:val="0"/>
        </w:rPr>
        <w:t>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449 056,00 рублей.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закупке поступило 5 заявок. По результатам рассмотрения заявок все участники признаны не соответствующими установленным требованиям (протокол подведения итогов электронного аукциона от 02.08.2022).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Комиссия приходит к следующим выводам.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описание объекта закупки в соответствии со статьей 33 настоящего Федерального закона;</w:t>
      </w:r>
    </w:p>
    <w:p>
      <w:pPr>
        <w:pStyle w:val="Style1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Style1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проект контракта;</w:t>
      </w:r>
    </w:p>
    <w:p>
      <w:pPr>
        <w:pStyle w:val="Style1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ию.ля 2002 года № 111 -ФЗ "Об инвестировании средств для финансирования накопительной пенсии в Российской Федерации";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№ 117-ФЗ "О накопительно-ипотечной системе жилищного обеспечения военнослужащих";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Закон о контрактной системе «Описание объекта закупки»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п.п. «а» п.2 ч.1 ст. 43 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исходя из указанных норм следует, что при формировании технического задания Заказчик указывает требуемые характеристики закупаемых товаров, а участник закупки предлагает товар с характеристиками, соответствующими установленным в техническом задании.</w:t>
      </w:r>
    </w:p>
    <w:p>
      <w:pPr>
        <w:pStyle w:val="Style22"/>
        <w:framePr w:w="10246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4"/>
        </w:rPr>
        <w:t>Согласно описанию объекта закупки, следует:</w:t>
      </w:r>
    </w:p>
    <w:tbl>
      <w:tblPr>
        <w:tblOverlap w:val="never"/>
        <w:tblLayout w:type="fixed"/>
        <w:jc w:val="center"/>
      </w:tblPr>
      <w:tblGrid>
        <w:gridCol w:w="342"/>
        <w:gridCol w:w="1422"/>
        <w:gridCol w:w="742"/>
        <w:gridCol w:w="634"/>
        <w:gridCol w:w="7106"/>
      </w:tblGrid>
      <w:tr>
        <w:trPr>
          <w:trHeight w:val="29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25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Перечень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20" w:right="0" w:firstLine="0"/>
            </w:pPr>
            <w:r>
              <w:rPr>
                <w:rStyle w:val="CharStyle25"/>
              </w:rPr>
              <w:t>Ед.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Кол-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Техническое задание</w:t>
            </w:r>
          </w:p>
        </w:tc>
      </w:tr>
      <w:tr>
        <w:trPr>
          <w:trHeight w:val="295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25"/>
              </w:rPr>
              <w:t>п/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товаров, работ,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3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во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framePr w:w="1024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367"/>
        <w:gridCol w:w="1426"/>
        <w:gridCol w:w="742"/>
        <w:gridCol w:w="630"/>
        <w:gridCol w:w="7142"/>
      </w:tblGrid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услуг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5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60" w:right="0" w:firstLine="0"/>
            </w:pPr>
            <w:r>
              <w:rPr>
                <w:rStyle w:val="CharStyle25"/>
              </w:rPr>
              <w:t>Пена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60" w:right="0" w:firstLine="0"/>
            </w:pPr>
            <w:r>
              <w:rPr>
                <w:rStyle w:val="CharStyle25"/>
              </w:rPr>
              <w:t>монтажная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ШТ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80.00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5"/>
              </w:rPr>
              <w:t>Однокомпонентная полиуретановая пена, застывающая под воздействием содержащейся в воздухе влаги, рекомендована для широкого спектра применений в области профессионального монтажа, герметизации и изоляции в строительстве. Пена обладает отличными термо- и звукоизоляционными свойствами, высокой устойчивостью к сырости и плесени, термоустойчивостью в диапазоне от -50°С до +90°С и влагостойкостью. Пену можно резать, шлифовать, оштукатуривать или красить. Профессиональная пена обеспечивает отличную адгезию к большинству строительных материалов. Пена рекомендуется для монтажа окон и дверей, заполнения щелей, акусти ческой и термической изоляции, соединения строительных конструкций. Производительность пены до 65 литров.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Размер тары: не менее 910 гр</w:t>
            </w:r>
          </w:p>
        </w:tc>
      </w:tr>
      <w:tr>
        <w:trPr>
          <w:trHeight w:val="104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5"/>
              </w:rPr>
              <w:t>Очиститель для пены монтажной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  <w:lang w:val="en-US" w:eastAsia="en-US" w:bidi="en-US"/>
              </w:rPr>
              <w:t>LUT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20.00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5"/>
              </w:rPr>
              <w:t>Многофункциональное средство, предназначенное для удаления остатков не отвердевшей пены и полиуретанового клея, а также для очистки клапанов баллонов и пистолетов для монтажной пены.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Объем не менее 360 гр.</w:t>
            </w:r>
          </w:p>
        </w:tc>
      </w:tr>
      <w:tr>
        <w:trPr>
          <w:trHeight w:val="100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120" w:firstLine="0"/>
            </w:pPr>
            <w:r>
              <w:rPr>
                <w:rStyle w:val="CharStyle25"/>
              </w:rPr>
              <w:t>Колер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ШТ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40.00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5"/>
              </w:rPr>
              <w:t>Для тонирования водно-дисперсионных красок и декоративных штукатурок, используемых внутри и снаружи помещений.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9" w:lineRule="exact"/>
              <w:ind w:left="20" w:right="0" w:firstLine="0"/>
            </w:pPr>
            <w:r>
              <w:rPr>
                <w:rStyle w:val="CharStyle25"/>
              </w:rPr>
              <w:t>Цвет бежевый Фасовка: не менее 100 мл</w:t>
            </w:r>
          </w:p>
        </w:tc>
      </w:tr>
      <w:tr>
        <w:trPr>
          <w:trHeight w:val="99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120" w:firstLine="0"/>
            </w:pPr>
            <w:r>
              <w:rPr>
                <w:rStyle w:val="CharStyle25"/>
              </w:rPr>
              <w:t>Колер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ШТ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40.00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3" w:lineRule="exact"/>
              <w:ind w:left="0" w:right="0" w:firstLine="0"/>
            </w:pPr>
            <w:r>
              <w:rPr>
                <w:rStyle w:val="CharStyle25"/>
              </w:rPr>
              <w:t>Для тонирования водно-дисперсионных красок и декоративных штукатурок, используемых внутри и снаружи помещений.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9" w:lineRule="exact"/>
              <w:ind w:left="20" w:right="0" w:firstLine="0"/>
            </w:pPr>
            <w:r>
              <w:rPr>
                <w:rStyle w:val="CharStyle25"/>
              </w:rPr>
              <w:t>Цвет салатовый Фасовка: не менее 100 мл</w:t>
            </w:r>
          </w:p>
        </w:tc>
      </w:tr>
      <w:tr>
        <w:trPr>
          <w:trHeight w:val="10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120" w:firstLine="0"/>
            </w:pPr>
            <w:r>
              <w:rPr>
                <w:rStyle w:val="CharStyle25"/>
              </w:rPr>
              <w:t>Колер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ШТ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40.00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7" w:lineRule="exact"/>
              <w:ind w:left="0" w:right="0" w:firstLine="0"/>
            </w:pPr>
            <w:r>
              <w:rPr>
                <w:rStyle w:val="CharStyle25"/>
              </w:rPr>
              <w:t>Для тонирования водно-дисперсионных красок и декоративных штукатурок, используемых внутри и снаружи помещений.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3" w:lineRule="exact"/>
              <w:ind w:left="20" w:right="0" w:firstLine="0"/>
            </w:pPr>
            <w:r>
              <w:rPr>
                <w:rStyle w:val="CharStyle25"/>
              </w:rPr>
              <w:t>Цвет персиковый Фасовка: не менее 100 мл</w:t>
            </w:r>
          </w:p>
        </w:tc>
      </w:tr>
      <w:tr>
        <w:trPr>
          <w:trHeight w:val="9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25"/>
              </w:rPr>
              <w:t>Эмаль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КГ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100.00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7" w:lineRule="exact"/>
              <w:ind w:left="0" w:right="0" w:firstLine="0"/>
            </w:pPr>
            <w:r>
              <w:rPr>
                <w:rStyle w:val="CharStyle25"/>
              </w:rPr>
              <w:t>Группа: Водостойкая (4)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20" w:right="0" w:firstLine="0"/>
            </w:pPr>
            <w:r>
              <w:rPr>
                <w:rStyle w:val="CharStyle25"/>
              </w:rPr>
              <w:t>Область применения: Для внутренних работ тип эмали: пентафталевая (ПФ)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*Цвет: желто-коричневый</w:t>
            </w:r>
          </w:p>
        </w:tc>
      </w:tr>
      <w:tr>
        <w:trPr>
          <w:trHeight w:val="123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25"/>
              </w:rPr>
              <w:t>Эмаль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КГ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100.00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20" w:right="0" w:firstLine="0"/>
            </w:pPr>
            <w:r>
              <w:rPr>
                <w:rStyle w:val="CharStyle25"/>
              </w:rPr>
              <w:t>Группа: Водостойкая (4) тип эмали: пентафталевая (ПФ)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20" w:right="0" w:firstLine="0"/>
            </w:pPr>
            <w:r>
              <w:rPr>
                <w:rStyle w:val="CharStyle25"/>
              </w:rPr>
              <w:t>Область применения: Для внутренних работ *Цвет: желто-коричневый.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80" w:lineRule="exact"/>
              <w:ind w:left="0" w:right="0" w:firstLine="0"/>
            </w:pPr>
            <w:r>
              <w:rPr>
                <w:rStyle w:val="CharStyle25"/>
              </w:rPr>
              <w:t>***Фасовка: не более 2,6 кг</w:t>
            </w:r>
          </w:p>
        </w:tc>
      </w:tr>
      <w:tr>
        <w:trPr>
          <w:trHeight w:val="100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25"/>
              </w:rPr>
              <w:t>Эмаль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КГ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300.00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1" w:lineRule="exact"/>
              <w:ind w:left="0" w:right="0" w:firstLine="0"/>
            </w:pPr>
            <w:r>
              <w:rPr>
                <w:rStyle w:val="CharStyle25"/>
              </w:rPr>
              <w:t>Группа: Атмосферостойкая (1)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1" w:lineRule="exact"/>
              <w:ind w:left="20" w:right="0" w:firstLine="0"/>
            </w:pPr>
            <w:r>
              <w:rPr>
                <w:rStyle w:val="CharStyle25"/>
              </w:rPr>
              <w:t>Область применения: Для внутренних работ Тип эмали: Пентафталевая **Цвет: белый</w:t>
            </w:r>
          </w:p>
        </w:tc>
      </w:tr>
      <w:tr>
        <w:trPr>
          <w:trHeight w:val="12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25"/>
              </w:rPr>
              <w:t>Эмаль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КГ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300.00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7" w:lineRule="exact"/>
              <w:ind w:left="20" w:right="0" w:firstLine="0"/>
            </w:pPr>
            <w:r>
              <w:rPr>
                <w:rStyle w:val="CharStyle25"/>
              </w:rPr>
              <w:t>Область применения: для наружный внутренних работ. Группа: Водостойкая (4)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7" w:lineRule="exact"/>
              <w:ind w:left="0" w:right="0" w:firstLine="0"/>
            </w:pPr>
            <w:r>
              <w:rPr>
                <w:rStyle w:val="CharStyle25"/>
              </w:rPr>
              <w:t>Тип эмали: Пентафталевая (ПФ)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9" w:lineRule="exact"/>
              <w:ind w:left="20" w:right="0" w:firstLine="0"/>
            </w:pPr>
            <w:r>
              <w:rPr>
                <w:rStyle w:val="CharStyle25"/>
              </w:rPr>
              <w:t>**Цвет: белый ***Фасовка: не более 2,6 кг.</w:t>
            </w:r>
          </w:p>
        </w:tc>
      </w:tr>
      <w:tr>
        <w:trPr>
          <w:trHeight w:val="78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25"/>
              </w:rPr>
              <w:t>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60" w:right="0" w:firstLine="0"/>
            </w:pPr>
            <w:r>
              <w:rPr>
                <w:rStyle w:val="CharStyle25"/>
              </w:rPr>
              <w:t>Эмаль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25"/>
              </w:rPr>
              <w:t>КГ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25"/>
              </w:rPr>
              <w:t>100.00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60" w:line="180" w:lineRule="exact"/>
              <w:ind w:left="0" w:right="0" w:firstLine="0"/>
            </w:pPr>
            <w:r>
              <w:rPr>
                <w:rStyle w:val="CharStyle25"/>
              </w:rPr>
              <w:t>Группа: Водостойкая</w:t>
            </w:r>
          </w:p>
          <w:p>
            <w:pPr>
              <w:pStyle w:val="Style13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59" w:lineRule="exact"/>
              <w:ind w:left="20" w:right="0" w:firstLine="0"/>
            </w:pPr>
            <w:r>
              <w:rPr>
                <w:rStyle w:val="CharStyle25"/>
              </w:rPr>
              <w:t>Область применения: Для внутренних работ Тип эмали : полиакриловая (АК)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*Желто-коричневая краска- применяется в детском учреждении для окрашивая пола, плинтусов, т. к. у заказчика имеются помещения, окрашенные в тон такого цвета.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**Белая краска- применяется в детском учреждении для покраски радиаторов, панелей, стен, для того что бы в помещении выло более светло.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*** Удобна при использовании в работе.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следует: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40" w:firstLine="0"/>
      </w:pPr>
      <w:r>
        <w:rPr>
          <w:rStyle w:val="CharStyle26"/>
        </w:rPr>
        <w:t xml:space="preserve">- 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случае если показатели сопровождаются словами </w:t>
      </w:r>
      <w:r>
        <w:rPr>
          <w:rStyle w:val="CharStyle26"/>
        </w:rPr>
        <w:t xml:space="preserve">«не менее»,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участник должен указать конкретное значение показателя, равное или превышающее заявленное Заказчиком без указания слов «не менее».</w:t>
      </w:r>
      <w:r>
        <w:br w:type="page"/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0"/>
      </w:pPr>
      <w:r>
        <w:rPr>
          <w:rStyle w:val="CharStyle26"/>
        </w:rPr>
        <w:t xml:space="preserve"> 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случае если показатели сопровождаются словами </w:t>
      </w:r>
      <w:r>
        <w:rPr>
          <w:rStyle w:val="CharStyle26"/>
        </w:rPr>
        <w:t xml:space="preserve">«не более»,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участник должен указать конкретное значение показателя, равное или не превышающее заявленное Заказчиком без указания слов «не более».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«от...до»-участник должен указать конкретное значение в данном диапазоне, в том числе и равное предельному показателю.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«или»- участник закупки должен указать один из вариантов, предложенных Заказчиком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указании в документации характеристик (показателей) с использованием слов «до», участник должен указать конкретное значение, равное или не превышающее, заявленное Заказчиком.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Остальные характеристики объекта закупки указываются в неизменном виде.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20" w:firstLine="720"/>
      </w:pPr>
      <w:r>
        <w:rPr>
          <w:rStyle w:val="CharStyle26"/>
        </w:rPr>
        <w:t xml:space="preserve">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заявке Заявителя (Идентификационный номер заявки № 1) позиции № 1 указано: Термоустойчивостью в диапазоне от -50°С до +90°С, что не соответствует описанию объекта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Комиссия приходит к выводу о том, что аукционная комиссия уполномоченного учреждения правомерно отклонила заявку заявителя, как не соответствующую требованиям описание объекта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же, заявитель в своей жалобе указал, что температурный диапазон нельзя конкретизировать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отмечает, что согласно пункту 1 части 2 статьи 105 Закона о контрактной системе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о закупке дата и время окончания срока подачи заявок 01.08.2022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07:00.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срок для обжалования положения извещения об осуществлении закупки истек 01.08.2022 07:00.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не выявила нарушений требований законодательства о контрактной системе в действиях членов аукционной комиссии при рассмотрении заявок участников закупки №</w:t>
      </w:r>
      <w:r>
        <w:rPr>
          <w:rStyle w:val="CharStyle18"/>
        </w:rPr>
        <w:t>0891200000622006072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09" w:line="220" w:lineRule="exact"/>
        <w:ind w:left="4740" w:right="0" w:firstLine="0"/>
      </w:pPr>
      <w:r>
        <w:rPr>
          <w:rStyle w:val="CharStyle27"/>
          <w:b/>
          <w:bCs/>
        </w:rPr>
        <w:t>РЕШИЛА: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64" w:line="22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Жалобу ООО «ТИМ Групп» признать необоснованной.</w:t>
      </w:r>
    </w:p>
    <w:p>
      <w:pPr>
        <w:framePr w:w="2808" w:h="911" w:wrap="around" w:vAnchor="text" w:hAnchor="margin" w:x="7377" w:y="257"/>
        <w:widowControl w:val="0"/>
        <w:rPr>
          <w:sz w:val="2"/>
          <w:szCs w:val="2"/>
        </w:rPr>
      </w:pPr>
      <w:r>
        <w:pict>
          <v:shape id="_x0000_s1029" type="#_x0000_t75" style="width:141pt;height:46pt;">
            <v:imagedata r:id="rId10" r:href="rId11"/>
          </v:shape>
        </w:pict>
      </w:r>
    </w:p>
    <w:p>
      <w:pPr>
        <w:pStyle w:val="Style15"/>
        <w:framePr w:w="1714" w:h="210" w:wrap="around" w:vAnchor="text" w:hAnchor="margin" w:x="8540" w:y="137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И.Т. Московская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89" w:line="281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framePr w:h="734" w:wrap="around" w:vAnchor="text" w:hAnchor="margin" w:x="7359" w:y="429"/>
        <w:widowControl w:val="0"/>
        <w:jc w:val="center"/>
        <w:rPr>
          <w:sz w:val="2"/>
          <w:szCs w:val="2"/>
        </w:rPr>
      </w:pPr>
      <w:r>
        <w:pict>
          <v:shape id="_x0000_s1030" type="#_x0000_t75" style="width:35pt;height:37pt;">
            <v:imagedata r:id="rId12" r:href="rId13"/>
          </v:shape>
        </w:pic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98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председателя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9" w:h="16838"/>
      <w:pgMar w:top="1040" w:left="730" w:right="863" w:bottom="4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3.65pt;margin-top:24.65pt;width:4.85pt;height:8.3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1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03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22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Подпись к картинке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6"/>
    </w:rPr>
  </w:style>
  <w:style w:type="character" w:customStyle="1" w:styleId="CharStyle10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6"/>
    </w:rPr>
  </w:style>
  <w:style w:type="character" w:customStyle="1" w:styleId="CharStyle12">
    <w:name w:val="Основной текст (4)_"/>
    <w:basedOn w:val="DefaultParagraphFont"/>
    <w:link w:val="Style1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6">
    <w:name w:val="Подпись к картинке (2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7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Колонтитул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Колонтитул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Подпись к таблице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4">
    <w:name w:val="Подпись к таблице"/>
    <w:basedOn w:val="CharStyle2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+ 9 pt"/>
    <w:basedOn w:val="CharStyle17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6">
    <w:name w:val="Основной текст +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4) + Интервал 3 pt"/>
    <w:basedOn w:val="CharStyle12"/>
    <w:rPr>
      <w:lang w:val="ru-RU" w:eastAsia="ru-RU" w:bidi="ru-RU"/>
      <w:w w:val="100"/>
      <w:spacing w:val="6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9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6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7"/>
    <w:pPr>
      <w:widowControl w:val="0"/>
      <w:shd w:val="clear" w:color="auto" w:fill="FFFFFF"/>
      <w:jc w:val="right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Подпись к картинке (2)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paragraph" w:customStyle="1" w:styleId="Style19">
    <w:name w:val="Колонтитул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2">
    <w:name w:val="Подпись к таблице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